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5A4E" w:rsidRPr="00413EC1" w:rsidRDefault="002D5A4E" w:rsidP="002D5A4E">
      <w:pPr>
        <w:pStyle w:val="Title"/>
      </w:pPr>
      <w:r w:rsidRPr="00413EC1">
        <w:t>Stakeholder Engagement Paper:</w:t>
      </w:r>
    </w:p>
    <w:p w:rsidR="00905DB5" w:rsidRDefault="002D5A4E" w:rsidP="002D5A4E">
      <w:pPr>
        <w:pStyle w:val="Title"/>
      </w:pPr>
      <w:r w:rsidRPr="00413EC1">
        <w:t>Medicinal Cannabis Cost Recovery Framework</w:t>
      </w:r>
    </w:p>
    <w:p w:rsidR="00905DB5" w:rsidRDefault="00CE58CA" w:rsidP="00905DB5">
      <w:pPr>
        <w:pStyle w:val="Subtitle"/>
      </w:pPr>
      <w:r>
        <w:t>Consultation paper</w:t>
      </w:r>
    </w:p>
    <w:p w:rsidR="00C33993" w:rsidRDefault="00C33993" w:rsidP="009F4A87">
      <w:pPr>
        <w:pStyle w:val="Date"/>
      </w:pPr>
      <w:r w:rsidRPr="00215D48">
        <w:t>Version 1.0, M</w:t>
      </w:r>
      <w:r w:rsidR="002D5A4E">
        <w:t>arch</w:t>
      </w:r>
      <w:r w:rsidRPr="00215D48">
        <w:t xml:space="preserve"> </w:t>
      </w:r>
      <w:r w:rsidR="002D5A4E">
        <w:t>2020</w:t>
      </w:r>
    </w:p>
    <w:p w:rsidR="00C33993" w:rsidRPr="00215D48" w:rsidRDefault="00C33993" w:rsidP="006855EE">
      <w:pPr>
        <w:pStyle w:val="ListBullet"/>
        <w:numPr>
          <w:ilvl w:val="0"/>
          <w:numId w:val="0"/>
        </w:numPr>
        <w:sectPr w:rsidR="00C33993" w:rsidRPr="00215D48" w:rsidSect="00905DB5">
          <w:headerReference w:type="default" r:id="rId8"/>
          <w:footerReference w:type="default" r:id="rId9"/>
          <w:headerReference w:type="first" r:id="rId10"/>
          <w:footerReference w:type="first" r:id="rId11"/>
          <w:type w:val="continuous"/>
          <w:pgSz w:w="11906" w:h="16838" w:code="9"/>
          <w:pgMar w:top="2385" w:right="1418" w:bottom="0" w:left="1418" w:header="992" w:footer="335" w:gutter="0"/>
          <w:cols w:space="708"/>
          <w:titlePg/>
          <w:docGrid w:linePitch="360"/>
        </w:sectPr>
      </w:pPr>
    </w:p>
    <w:p w:rsidR="00514ED1" w:rsidRPr="005F679D" w:rsidRDefault="00514ED1" w:rsidP="00514ED1">
      <w:pPr>
        <w:rPr>
          <w:i/>
        </w:rPr>
      </w:pPr>
      <w:r w:rsidRPr="005F679D">
        <w:rPr>
          <w:i/>
        </w:rPr>
        <w:lastRenderedPageBreak/>
        <w:t>© Commonwealth of Australia</w:t>
      </w:r>
    </w:p>
    <w:p w:rsidR="00514ED1" w:rsidRPr="005F679D" w:rsidRDefault="00514ED1" w:rsidP="00514ED1">
      <w:pPr>
        <w:pStyle w:val="LegalSubheading"/>
      </w:pPr>
      <w:r w:rsidRPr="005F679D">
        <w:t xml:space="preserve">Ownership of </w:t>
      </w:r>
      <w:r w:rsidRPr="00FE088B">
        <w:t>intellectual</w:t>
      </w:r>
      <w:r w:rsidRPr="005F679D">
        <w:t xml:space="preserve"> property rights</w:t>
      </w:r>
    </w:p>
    <w:p w:rsidR="00514ED1" w:rsidRDefault="00514ED1" w:rsidP="00514ED1">
      <w:r>
        <w:t>Unless otherwise noted, copyright (and any other intellectual property rights, if any) in this publication is owned by the Commonwealth of Australia (referred to as the Commonwealth).</w:t>
      </w:r>
    </w:p>
    <w:p w:rsidR="00514ED1" w:rsidRDefault="00514ED1" w:rsidP="00514ED1">
      <w:pPr>
        <w:pStyle w:val="LegalSubheading"/>
      </w:pPr>
      <w:r>
        <w:t>Creative Commons Licence</w:t>
      </w:r>
    </w:p>
    <w:p w:rsidR="00514ED1" w:rsidRDefault="00514ED1" w:rsidP="00514ED1">
      <w:r>
        <w:t>All material in this publication is licensed under a Creative Commons Attribution 3.0 Australia Licence, save for images, content supplied by third parties, and the Commonwealth Coat of Arms.</w:t>
      </w:r>
    </w:p>
    <w:p w:rsidR="00514ED1" w:rsidRDefault="00514ED1" w:rsidP="00514ED1">
      <w:r>
        <w:t xml:space="preserve">Creative Commons Attribution 3.0 Australia Licence is a standard form licence agreement that allows you to copy, distribute, transmit and adapt this publication provided you attribute the work. A summary of the licence terms is available at </w:t>
      </w:r>
      <w:hyperlink r:id="rId12" w:history="1">
        <w:r w:rsidRPr="005F679D">
          <w:rPr>
            <w:rStyle w:val="Hyperlink"/>
          </w:rPr>
          <w:t>creativecommons.org/licenses/by/3.0/au/deed.en</w:t>
        </w:r>
      </w:hyperlink>
      <w:r>
        <w:t xml:space="preserve">. The full licence terms are available at </w:t>
      </w:r>
      <w:hyperlink r:id="rId13" w:history="1">
        <w:r w:rsidRPr="005F679D">
          <w:rPr>
            <w:rStyle w:val="Hyperlink"/>
          </w:rPr>
          <w:t>creativecommons.org/licenses/by/3.0/au/legalcode</w:t>
        </w:r>
      </w:hyperlink>
      <w:r>
        <w:t>.</w:t>
      </w:r>
    </w:p>
    <w:p w:rsidR="00514ED1" w:rsidRDefault="00514ED1" w:rsidP="00514ED1">
      <w:r>
        <w:t xml:space="preserve">This publication (and any material sourced from it) should be attributed as: </w:t>
      </w:r>
      <w:r w:rsidR="002D5A4E">
        <w:t>Office of Drug Control, March 2020, Stakeholder Engagement Paper: Medicinal Cannabis Cost Recovery Framework</w:t>
      </w:r>
      <w:r>
        <w:t>.</w:t>
      </w:r>
    </w:p>
    <w:p w:rsidR="00514ED1" w:rsidRDefault="00514ED1" w:rsidP="00514ED1">
      <w:r>
        <w:t xml:space="preserve">Inquiries regarding the licence and any use of this document should be sent to: </w:t>
      </w:r>
      <w:hyperlink r:id="rId14" w:history="1">
        <w:r w:rsidR="002D5A4E" w:rsidRPr="00B65464">
          <w:rPr>
            <w:rStyle w:val="Hyperlink"/>
          </w:rPr>
          <w:t>mcs@health.gov.au</w:t>
        </w:r>
      </w:hyperlink>
      <w:r>
        <w:t>.</w:t>
      </w:r>
    </w:p>
    <w:p w:rsidR="00514ED1" w:rsidRDefault="00514ED1" w:rsidP="00514ED1">
      <w:pPr>
        <w:pStyle w:val="LegalSubheading"/>
      </w:pPr>
      <w:r>
        <w:t>Office of Drug Control</w:t>
      </w:r>
    </w:p>
    <w:p w:rsidR="00514ED1" w:rsidRDefault="00514ED1" w:rsidP="00514ED1">
      <w:r w:rsidRPr="001203D7">
        <w:rPr>
          <w:b/>
        </w:rPr>
        <w:t>Postal address:</w:t>
      </w:r>
      <w:r>
        <w:br/>
      </w:r>
      <w:r w:rsidR="00CC2BF7">
        <w:t>PO Box 100</w:t>
      </w:r>
      <w:r w:rsidR="00CC2BF7">
        <w:br/>
        <w:t>Woden</w:t>
      </w:r>
      <w:r w:rsidR="00CE58CA">
        <w:t xml:space="preserve"> </w:t>
      </w:r>
      <w:r w:rsidR="00CC2BF7">
        <w:t>ACT 2606</w:t>
      </w:r>
      <w:r w:rsidR="00CC2BF7">
        <w:br/>
        <w:t>Australia</w:t>
      </w:r>
    </w:p>
    <w:p w:rsidR="00514ED1" w:rsidRDefault="00514ED1" w:rsidP="00514ED1">
      <w:r w:rsidRPr="001203D7">
        <w:rPr>
          <w:b/>
        </w:rPr>
        <w:t>Switchboard:</w:t>
      </w:r>
      <w:r>
        <w:br/>
      </w:r>
      <w:r w:rsidR="00CC2BF7" w:rsidRPr="008D0BF8">
        <w:t>(02) 6289 1555</w:t>
      </w:r>
    </w:p>
    <w:p w:rsidR="00514ED1" w:rsidRDefault="00514ED1" w:rsidP="00514ED1">
      <w:r w:rsidRPr="001203D7">
        <w:rPr>
          <w:b/>
        </w:rPr>
        <w:t>Web:</w:t>
      </w:r>
      <w:r>
        <w:br/>
      </w:r>
      <w:hyperlink r:id="rId15" w:history="1">
        <w:r w:rsidRPr="001203D7">
          <w:rPr>
            <w:rStyle w:val="Hyperlink"/>
          </w:rPr>
          <w:t>odc.gov.au</w:t>
        </w:r>
      </w:hyperlink>
    </w:p>
    <w:p w:rsidR="00514ED1" w:rsidRDefault="00514ED1" w:rsidP="00514ED1">
      <w:r>
        <w:t>The Australian Government acting through the Office of Drug Control has exercised due care and skill in the preparation and compilation of the information and data in this publication. Notwithstanding, the department, its employees and advisers disclaim all liability, including liability for negligence, for any loss, damage, injury, expense or cost incurred by any person as a result of accessing, using or relying upon any of the information or data in this publication to the maximum extent permitted by law.</w:t>
      </w:r>
    </w:p>
    <w:p w:rsidR="00F65CAB" w:rsidRPr="00F65CAB" w:rsidRDefault="00F65CAB" w:rsidP="00022499">
      <w:pPr>
        <w:pStyle w:val="LegalSubheading"/>
      </w:pPr>
      <w:r w:rsidRPr="00F65CAB">
        <w:t>Confidentiality</w:t>
      </w:r>
    </w:p>
    <w:p w:rsidR="00F65CAB" w:rsidRDefault="00F65CAB" w:rsidP="00F65CAB">
      <w:r>
        <w:t>All submissions received</w:t>
      </w:r>
      <w:r w:rsidR="00022499">
        <w:t xml:space="preserve"> in response to this consultation</w:t>
      </w:r>
      <w:r>
        <w:t xml:space="preserve"> will be placed on the ODC’s Internet site, unless marked confidential. Any confidential material contained within your submission should be provided under a separate cover and clearly marked “IN CONFIDENCE”. Reasons for a claim to confidentiality must be included in the space provided on the ODC submission form. For submission made by individuals, all personal details, other than your name, will be removed from your submission before it is published on the ODC’s Internet site. In addition, a list of parties making submissions will be published. If you do not wish to be identified with your submission you must specifically request this in the space provided on the submission form.</w:t>
      </w:r>
    </w:p>
    <w:p w:rsidR="00514ED1" w:rsidRDefault="00514ED1" w:rsidP="00514ED1">
      <w:pPr>
        <w:pStyle w:val="NonTOCheading2"/>
      </w:pPr>
      <w:r>
        <w:lastRenderedPageBreak/>
        <w:t xml:space="preserve">Version </w:t>
      </w:r>
      <w:r w:rsidRPr="00FE088B">
        <w:t>control</w:t>
      </w:r>
    </w:p>
    <w:p w:rsidR="00514ED1" w:rsidRDefault="00514ED1" w:rsidP="00514ED1">
      <w:r>
        <w:t>Updates to this document will occur automatically on the Office of Drug Control website and the revision table below will list the amendments as they are approved.</w:t>
      </w:r>
    </w:p>
    <w:tbl>
      <w:tblPr>
        <w:tblStyle w:val="TableODC"/>
        <w:tblW w:w="0" w:type="auto"/>
        <w:tblLook w:val="0020" w:firstRow="1" w:lastRow="0" w:firstColumn="0" w:lastColumn="0" w:noHBand="0" w:noVBand="0"/>
      </w:tblPr>
      <w:tblGrid>
        <w:gridCol w:w="2215"/>
        <w:gridCol w:w="1132"/>
        <w:gridCol w:w="3881"/>
        <w:gridCol w:w="2410"/>
      </w:tblGrid>
      <w:tr w:rsidR="00514ED1" w:rsidTr="00FB5F97">
        <w:trPr>
          <w:cnfStyle w:val="100000000000" w:firstRow="1" w:lastRow="0" w:firstColumn="0" w:lastColumn="0" w:oddVBand="0" w:evenVBand="0" w:oddHBand="0" w:evenHBand="0" w:firstRowFirstColumn="0" w:firstRowLastColumn="0" w:lastRowFirstColumn="0" w:lastRowLastColumn="0"/>
        </w:trPr>
        <w:tc>
          <w:tcPr>
            <w:tcW w:w="2235" w:type="dxa"/>
          </w:tcPr>
          <w:p w:rsidR="00514ED1" w:rsidRDefault="00514ED1" w:rsidP="00FB5F97">
            <w:pPr>
              <w:pStyle w:val="Tableheader"/>
            </w:pPr>
            <w:r>
              <w:t>Date</w:t>
            </w:r>
          </w:p>
        </w:tc>
        <w:tc>
          <w:tcPr>
            <w:tcW w:w="1134" w:type="dxa"/>
          </w:tcPr>
          <w:p w:rsidR="00514ED1" w:rsidRDefault="00514ED1" w:rsidP="00FB5F97">
            <w:pPr>
              <w:pStyle w:val="Tableheader"/>
            </w:pPr>
            <w:r>
              <w:t>Version</w:t>
            </w:r>
          </w:p>
        </w:tc>
        <w:tc>
          <w:tcPr>
            <w:tcW w:w="3915" w:type="dxa"/>
          </w:tcPr>
          <w:p w:rsidR="00514ED1" w:rsidRDefault="00514ED1" w:rsidP="00FB5F97">
            <w:pPr>
              <w:pStyle w:val="Tableheader"/>
            </w:pPr>
            <w:r>
              <w:t>Amendments</w:t>
            </w:r>
          </w:p>
        </w:tc>
        <w:tc>
          <w:tcPr>
            <w:tcW w:w="2428" w:type="dxa"/>
          </w:tcPr>
          <w:p w:rsidR="00514ED1" w:rsidRDefault="00514ED1" w:rsidP="00FB5F97">
            <w:pPr>
              <w:pStyle w:val="Tableheader"/>
            </w:pPr>
            <w:r>
              <w:t>Approved by</w:t>
            </w:r>
          </w:p>
        </w:tc>
      </w:tr>
      <w:tr w:rsidR="00514ED1" w:rsidTr="00FB5F97">
        <w:trPr>
          <w:cnfStyle w:val="000000100000" w:firstRow="0" w:lastRow="0" w:firstColumn="0" w:lastColumn="0" w:oddVBand="0" w:evenVBand="0" w:oddHBand="1" w:evenHBand="0" w:firstRowFirstColumn="0" w:firstRowLastColumn="0" w:lastRowFirstColumn="0" w:lastRowLastColumn="0"/>
        </w:trPr>
        <w:tc>
          <w:tcPr>
            <w:tcW w:w="2235" w:type="dxa"/>
            <w:tcBorders>
              <w:top w:val="single" w:sz="8" w:space="0" w:color="002C47"/>
              <w:bottom w:val="single" w:sz="8" w:space="0" w:color="002C47"/>
            </w:tcBorders>
          </w:tcPr>
          <w:p w:rsidR="00514ED1" w:rsidRDefault="002D5A4E" w:rsidP="002D5A4E">
            <w:pPr>
              <w:spacing w:after="120"/>
            </w:pPr>
            <w:r>
              <w:t>10 March 2020</w:t>
            </w:r>
          </w:p>
        </w:tc>
        <w:tc>
          <w:tcPr>
            <w:tcW w:w="1134" w:type="dxa"/>
            <w:tcBorders>
              <w:top w:val="single" w:sz="8" w:space="0" w:color="002C47"/>
              <w:bottom w:val="single" w:sz="8" w:space="0" w:color="002C47"/>
            </w:tcBorders>
          </w:tcPr>
          <w:p w:rsidR="00514ED1" w:rsidRDefault="00514ED1" w:rsidP="00FB5F97">
            <w:pPr>
              <w:spacing w:after="120"/>
            </w:pPr>
            <w:r>
              <w:t>1.0</w:t>
            </w:r>
          </w:p>
        </w:tc>
        <w:tc>
          <w:tcPr>
            <w:tcW w:w="3915" w:type="dxa"/>
            <w:tcBorders>
              <w:top w:val="single" w:sz="8" w:space="0" w:color="002C47"/>
              <w:bottom w:val="single" w:sz="8" w:space="0" w:color="002C47"/>
            </w:tcBorders>
          </w:tcPr>
          <w:p w:rsidR="00514ED1" w:rsidRDefault="00CC2BF7" w:rsidP="00FB5F97">
            <w:pPr>
              <w:spacing w:after="120"/>
            </w:pPr>
            <w:r>
              <w:t>Original publication</w:t>
            </w:r>
          </w:p>
        </w:tc>
        <w:tc>
          <w:tcPr>
            <w:tcW w:w="2428" w:type="dxa"/>
            <w:tcBorders>
              <w:top w:val="single" w:sz="8" w:space="0" w:color="002C47"/>
              <w:bottom w:val="single" w:sz="8" w:space="0" w:color="002C47"/>
            </w:tcBorders>
          </w:tcPr>
          <w:p w:rsidR="00514ED1" w:rsidRDefault="00CC2BF7" w:rsidP="00FB5F97">
            <w:pPr>
              <w:spacing w:after="120"/>
            </w:pPr>
            <w:r>
              <w:t>ODC</w:t>
            </w:r>
          </w:p>
        </w:tc>
      </w:tr>
    </w:tbl>
    <w:p w:rsidR="00514ED1" w:rsidRDefault="00514ED1" w:rsidP="00514ED1"/>
    <w:sdt>
      <w:sdtPr>
        <w:rPr>
          <w:rFonts w:ascii="Cambria" w:eastAsia="Cambria" w:hAnsi="Cambria"/>
          <w:b w:val="0"/>
          <w:bCs w:val="0"/>
          <w:color w:val="auto"/>
          <w:sz w:val="22"/>
          <w:szCs w:val="20"/>
        </w:rPr>
        <w:id w:val="21514769"/>
        <w:docPartObj>
          <w:docPartGallery w:val="Table of Contents"/>
          <w:docPartUnique/>
        </w:docPartObj>
      </w:sdtPr>
      <w:sdtEndPr>
        <w:rPr>
          <w:rFonts w:ascii="Segoe UI" w:hAnsi="Segoe UI"/>
        </w:rPr>
      </w:sdtEndPr>
      <w:sdtContent>
        <w:p w:rsidR="00514ED1" w:rsidRPr="00FE088B" w:rsidRDefault="00514ED1" w:rsidP="00514ED1">
          <w:pPr>
            <w:pStyle w:val="NonTOCheading2"/>
          </w:pPr>
          <w:r>
            <w:t>Table of contents</w:t>
          </w:r>
        </w:p>
        <w:p w:rsidR="002924AC" w:rsidRDefault="00514ED1">
          <w:pPr>
            <w:pStyle w:val="TOC1"/>
            <w:rPr>
              <w:rFonts w:asciiTheme="minorHAnsi" w:eastAsiaTheme="minorEastAsia" w:hAnsiTheme="minorHAnsi" w:cstheme="minorBidi"/>
              <w:noProof/>
              <w:sz w:val="22"/>
              <w:szCs w:val="22"/>
              <w:lang w:eastAsia="en-AU"/>
            </w:rPr>
          </w:pPr>
          <w:r w:rsidRPr="00215D48">
            <w:rPr>
              <w:rFonts w:ascii="Arial" w:hAnsi="Arial"/>
              <w:b/>
              <w:sz w:val="32"/>
            </w:rPr>
            <w:fldChar w:fldCharType="begin"/>
          </w:r>
          <w:r w:rsidRPr="00215D48">
            <w:instrText xml:space="preserve"> TOC \h \z \u \t "Heading 2,1,Heading 3,2,Heading 4,3" </w:instrText>
          </w:r>
          <w:r w:rsidRPr="00215D48">
            <w:rPr>
              <w:rFonts w:ascii="Arial" w:hAnsi="Arial"/>
              <w:b/>
              <w:sz w:val="32"/>
            </w:rPr>
            <w:fldChar w:fldCharType="separate"/>
          </w:r>
          <w:hyperlink w:anchor="_Toc34834155" w:history="1">
            <w:r w:rsidR="002924AC" w:rsidRPr="00566BF6">
              <w:rPr>
                <w:rStyle w:val="Hyperlink"/>
                <w:noProof/>
              </w:rPr>
              <w:t>Introduction</w:t>
            </w:r>
            <w:r w:rsidR="002924AC">
              <w:rPr>
                <w:noProof/>
                <w:webHidden/>
              </w:rPr>
              <w:tab/>
            </w:r>
            <w:r w:rsidR="002924AC">
              <w:rPr>
                <w:noProof/>
                <w:webHidden/>
              </w:rPr>
              <w:fldChar w:fldCharType="begin"/>
            </w:r>
            <w:r w:rsidR="002924AC">
              <w:rPr>
                <w:noProof/>
                <w:webHidden/>
              </w:rPr>
              <w:instrText xml:space="preserve"> PAGEREF _Toc34834155 \h </w:instrText>
            </w:r>
            <w:r w:rsidR="002924AC">
              <w:rPr>
                <w:noProof/>
                <w:webHidden/>
              </w:rPr>
            </w:r>
            <w:r w:rsidR="002924AC">
              <w:rPr>
                <w:noProof/>
                <w:webHidden/>
              </w:rPr>
              <w:fldChar w:fldCharType="separate"/>
            </w:r>
            <w:r w:rsidR="002924AC">
              <w:rPr>
                <w:noProof/>
                <w:webHidden/>
              </w:rPr>
              <w:t>5</w:t>
            </w:r>
            <w:r w:rsidR="002924AC">
              <w:rPr>
                <w:noProof/>
                <w:webHidden/>
              </w:rPr>
              <w:fldChar w:fldCharType="end"/>
            </w:r>
          </w:hyperlink>
        </w:p>
        <w:p w:rsidR="002924AC" w:rsidRDefault="00F52074">
          <w:pPr>
            <w:pStyle w:val="TOC1"/>
            <w:rPr>
              <w:rFonts w:asciiTheme="minorHAnsi" w:eastAsiaTheme="minorEastAsia" w:hAnsiTheme="minorHAnsi" w:cstheme="minorBidi"/>
              <w:noProof/>
              <w:sz w:val="22"/>
              <w:szCs w:val="22"/>
              <w:lang w:eastAsia="en-AU"/>
            </w:rPr>
          </w:pPr>
          <w:hyperlink w:anchor="_Toc34834156" w:history="1">
            <w:r w:rsidR="002924AC" w:rsidRPr="00566BF6">
              <w:rPr>
                <w:rStyle w:val="Hyperlink"/>
                <w:noProof/>
              </w:rPr>
              <w:t>Providing feedback</w:t>
            </w:r>
            <w:r w:rsidR="002924AC">
              <w:rPr>
                <w:noProof/>
                <w:webHidden/>
              </w:rPr>
              <w:tab/>
            </w:r>
            <w:r w:rsidR="002924AC">
              <w:rPr>
                <w:noProof/>
                <w:webHidden/>
              </w:rPr>
              <w:fldChar w:fldCharType="begin"/>
            </w:r>
            <w:r w:rsidR="002924AC">
              <w:rPr>
                <w:noProof/>
                <w:webHidden/>
              </w:rPr>
              <w:instrText xml:space="preserve"> PAGEREF _Toc34834156 \h </w:instrText>
            </w:r>
            <w:r w:rsidR="002924AC">
              <w:rPr>
                <w:noProof/>
                <w:webHidden/>
              </w:rPr>
            </w:r>
            <w:r w:rsidR="002924AC">
              <w:rPr>
                <w:noProof/>
                <w:webHidden/>
              </w:rPr>
              <w:fldChar w:fldCharType="separate"/>
            </w:r>
            <w:r w:rsidR="002924AC">
              <w:rPr>
                <w:noProof/>
                <w:webHidden/>
              </w:rPr>
              <w:t>5</w:t>
            </w:r>
            <w:r w:rsidR="002924AC">
              <w:rPr>
                <w:noProof/>
                <w:webHidden/>
              </w:rPr>
              <w:fldChar w:fldCharType="end"/>
            </w:r>
          </w:hyperlink>
        </w:p>
        <w:p w:rsidR="002924AC" w:rsidRDefault="00F52074">
          <w:pPr>
            <w:pStyle w:val="TOC1"/>
            <w:rPr>
              <w:rFonts w:asciiTheme="minorHAnsi" w:eastAsiaTheme="minorEastAsia" w:hAnsiTheme="minorHAnsi" w:cstheme="minorBidi"/>
              <w:noProof/>
              <w:sz w:val="22"/>
              <w:szCs w:val="22"/>
              <w:lang w:eastAsia="en-AU"/>
            </w:rPr>
          </w:pPr>
          <w:hyperlink w:anchor="_Toc34834157" w:history="1">
            <w:r w:rsidR="002924AC" w:rsidRPr="00566BF6">
              <w:rPr>
                <w:rStyle w:val="Hyperlink"/>
                <w:noProof/>
              </w:rPr>
              <w:t>About this paper</w:t>
            </w:r>
            <w:r w:rsidR="002924AC">
              <w:rPr>
                <w:noProof/>
                <w:webHidden/>
              </w:rPr>
              <w:tab/>
            </w:r>
            <w:r w:rsidR="002924AC">
              <w:rPr>
                <w:noProof/>
                <w:webHidden/>
              </w:rPr>
              <w:fldChar w:fldCharType="begin"/>
            </w:r>
            <w:r w:rsidR="002924AC">
              <w:rPr>
                <w:noProof/>
                <w:webHidden/>
              </w:rPr>
              <w:instrText xml:space="preserve"> PAGEREF _Toc34834157 \h </w:instrText>
            </w:r>
            <w:r w:rsidR="002924AC">
              <w:rPr>
                <w:noProof/>
                <w:webHidden/>
              </w:rPr>
            </w:r>
            <w:r w:rsidR="002924AC">
              <w:rPr>
                <w:noProof/>
                <w:webHidden/>
              </w:rPr>
              <w:fldChar w:fldCharType="separate"/>
            </w:r>
            <w:r w:rsidR="002924AC">
              <w:rPr>
                <w:noProof/>
                <w:webHidden/>
              </w:rPr>
              <w:t>5</w:t>
            </w:r>
            <w:r w:rsidR="002924AC">
              <w:rPr>
                <w:noProof/>
                <w:webHidden/>
              </w:rPr>
              <w:fldChar w:fldCharType="end"/>
            </w:r>
          </w:hyperlink>
        </w:p>
        <w:p w:rsidR="002924AC" w:rsidRDefault="00F52074">
          <w:pPr>
            <w:pStyle w:val="TOC2"/>
            <w:rPr>
              <w:rFonts w:asciiTheme="minorHAnsi" w:eastAsiaTheme="minorEastAsia" w:hAnsiTheme="minorHAnsi" w:cstheme="minorBidi"/>
              <w:noProof/>
              <w:szCs w:val="22"/>
              <w:lang w:eastAsia="en-AU"/>
            </w:rPr>
          </w:pPr>
          <w:hyperlink w:anchor="_Toc34834158" w:history="1">
            <w:r w:rsidR="002924AC" w:rsidRPr="00566BF6">
              <w:rPr>
                <w:rStyle w:val="Hyperlink"/>
                <w:noProof/>
              </w:rPr>
              <w:t>Transition arrangements for the Single Licence Model</w:t>
            </w:r>
            <w:r w:rsidR="002924AC">
              <w:rPr>
                <w:noProof/>
                <w:webHidden/>
              </w:rPr>
              <w:tab/>
            </w:r>
            <w:r w:rsidR="002924AC">
              <w:rPr>
                <w:noProof/>
                <w:webHidden/>
              </w:rPr>
              <w:fldChar w:fldCharType="begin"/>
            </w:r>
            <w:r w:rsidR="002924AC">
              <w:rPr>
                <w:noProof/>
                <w:webHidden/>
              </w:rPr>
              <w:instrText xml:space="preserve"> PAGEREF _Toc34834158 \h </w:instrText>
            </w:r>
            <w:r w:rsidR="002924AC">
              <w:rPr>
                <w:noProof/>
                <w:webHidden/>
              </w:rPr>
            </w:r>
            <w:r w:rsidR="002924AC">
              <w:rPr>
                <w:noProof/>
                <w:webHidden/>
              </w:rPr>
              <w:fldChar w:fldCharType="separate"/>
            </w:r>
            <w:r w:rsidR="002924AC">
              <w:rPr>
                <w:noProof/>
                <w:webHidden/>
              </w:rPr>
              <w:t>5</w:t>
            </w:r>
            <w:r w:rsidR="002924AC">
              <w:rPr>
                <w:noProof/>
                <w:webHidden/>
              </w:rPr>
              <w:fldChar w:fldCharType="end"/>
            </w:r>
          </w:hyperlink>
        </w:p>
        <w:p w:rsidR="002924AC" w:rsidRDefault="00F52074">
          <w:pPr>
            <w:pStyle w:val="TOC1"/>
            <w:rPr>
              <w:rFonts w:asciiTheme="minorHAnsi" w:eastAsiaTheme="minorEastAsia" w:hAnsiTheme="minorHAnsi" w:cstheme="minorBidi"/>
              <w:noProof/>
              <w:sz w:val="22"/>
              <w:szCs w:val="22"/>
              <w:lang w:eastAsia="en-AU"/>
            </w:rPr>
          </w:pPr>
          <w:hyperlink w:anchor="_Toc34834159" w:history="1">
            <w:r w:rsidR="002924AC" w:rsidRPr="00566BF6">
              <w:rPr>
                <w:rStyle w:val="Hyperlink"/>
                <w:noProof/>
              </w:rPr>
              <w:t>Background</w:t>
            </w:r>
            <w:r w:rsidR="002924AC">
              <w:rPr>
                <w:noProof/>
                <w:webHidden/>
              </w:rPr>
              <w:tab/>
            </w:r>
            <w:r w:rsidR="002924AC">
              <w:rPr>
                <w:noProof/>
                <w:webHidden/>
              </w:rPr>
              <w:fldChar w:fldCharType="begin"/>
            </w:r>
            <w:r w:rsidR="002924AC">
              <w:rPr>
                <w:noProof/>
                <w:webHidden/>
              </w:rPr>
              <w:instrText xml:space="preserve"> PAGEREF _Toc34834159 \h </w:instrText>
            </w:r>
            <w:r w:rsidR="002924AC">
              <w:rPr>
                <w:noProof/>
                <w:webHidden/>
              </w:rPr>
            </w:r>
            <w:r w:rsidR="002924AC">
              <w:rPr>
                <w:noProof/>
                <w:webHidden/>
              </w:rPr>
              <w:fldChar w:fldCharType="separate"/>
            </w:r>
            <w:r w:rsidR="002924AC">
              <w:rPr>
                <w:noProof/>
                <w:webHidden/>
              </w:rPr>
              <w:t>6</w:t>
            </w:r>
            <w:r w:rsidR="002924AC">
              <w:rPr>
                <w:noProof/>
                <w:webHidden/>
              </w:rPr>
              <w:fldChar w:fldCharType="end"/>
            </w:r>
          </w:hyperlink>
        </w:p>
        <w:p w:rsidR="002924AC" w:rsidRDefault="00F52074">
          <w:pPr>
            <w:pStyle w:val="TOC1"/>
            <w:rPr>
              <w:rFonts w:asciiTheme="minorHAnsi" w:eastAsiaTheme="minorEastAsia" w:hAnsiTheme="minorHAnsi" w:cstheme="minorBidi"/>
              <w:noProof/>
              <w:sz w:val="22"/>
              <w:szCs w:val="22"/>
              <w:lang w:eastAsia="en-AU"/>
            </w:rPr>
          </w:pPr>
          <w:hyperlink w:anchor="_Toc34834160" w:history="1">
            <w:r w:rsidR="002924AC" w:rsidRPr="00566BF6">
              <w:rPr>
                <w:rStyle w:val="Hyperlink"/>
                <w:noProof/>
              </w:rPr>
              <w:t>Review of the Cost Recovery Framework</w:t>
            </w:r>
            <w:r w:rsidR="002924AC">
              <w:rPr>
                <w:noProof/>
                <w:webHidden/>
              </w:rPr>
              <w:tab/>
            </w:r>
            <w:r w:rsidR="002924AC">
              <w:rPr>
                <w:noProof/>
                <w:webHidden/>
              </w:rPr>
              <w:fldChar w:fldCharType="begin"/>
            </w:r>
            <w:r w:rsidR="002924AC">
              <w:rPr>
                <w:noProof/>
                <w:webHidden/>
              </w:rPr>
              <w:instrText xml:space="preserve"> PAGEREF _Toc34834160 \h </w:instrText>
            </w:r>
            <w:r w:rsidR="002924AC">
              <w:rPr>
                <w:noProof/>
                <w:webHidden/>
              </w:rPr>
            </w:r>
            <w:r w:rsidR="002924AC">
              <w:rPr>
                <w:noProof/>
                <w:webHidden/>
              </w:rPr>
              <w:fldChar w:fldCharType="separate"/>
            </w:r>
            <w:r w:rsidR="002924AC">
              <w:rPr>
                <w:noProof/>
                <w:webHidden/>
              </w:rPr>
              <w:t>7</w:t>
            </w:r>
            <w:r w:rsidR="002924AC">
              <w:rPr>
                <w:noProof/>
                <w:webHidden/>
              </w:rPr>
              <w:fldChar w:fldCharType="end"/>
            </w:r>
          </w:hyperlink>
        </w:p>
        <w:p w:rsidR="002924AC" w:rsidRDefault="00F52074">
          <w:pPr>
            <w:pStyle w:val="TOC2"/>
            <w:rPr>
              <w:rFonts w:asciiTheme="minorHAnsi" w:eastAsiaTheme="minorEastAsia" w:hAnsiTheme="minorHAnsi" w:cstheme="minorBidi"/>
              <w:noProof/>
              <w:szCs w:val="22"/>
              <w:lang w:eastAsia="en-AU"/>
            </w:rPr>
          </w:pPr>
          <w:hyperlink w:anchor="_Toc34834161" w:history="1">
            <w:r w:rsidR="002924AC" w:rsidRPr="00566BF6">
              <w:rPr>
                <w:rStyle w:val="Hyperlink"/>
                <w:noProof/>
              </w:rPr>
              <w:t>Findings of the review into the Cost Recovery Framework and Stakeholder Consultation Engagement Sessions</w:t>
            </w:r>
            <w:r w:rsidR="002924AC">
              <w:rPr>
                <w:noProof/>
                <w:webHidden/>
              </w:rPr>
              <w:tab/>
            </w:r>
            <w:r w:rsidR="002924AC">
              <w:rPr>
                <w:noProof/>
                <w:webHidden/>
              </w:rPr>
              <w:fldChar w:fldCharType="begin"/>
            </w:r>
            <w:r w:rsidR="002924AC">
              <w:rPr>
                <w:noProof/>
                <w:webHidden/>
              </w:rPr>
              <w:instrText xml:space="preserve"> PAGEREF _Toc34834161 \h </w:instrText>
            </w:r>
            <w:r w:rsidR="002924AC">
              <w:rPr>
                <w:noProof/>
                <w:webHidden/>
              </w:rPr>
            </w:r>
            <w:r w:rsidR="002924AC">
              <w:rPr>
                <w:noProof/>
                <w:webHidden/>
              </w:rPr>
              <w:fldChar w:fldCharType="separate"/>
            </w:r>
            <w:r w:rsidR="002924AC">
              <w:rPr>
                <w:noProof/>
                <w:webHidden/>
              </w:rPr>
              <w:t>7</w:t>
            </w:r>
            <w:r w:rsidR="002924AC">
              <w:rPr>
                <w:noProof/>
                <w:webHidden/>
              </w:rPr>
              <w:fldChar w:fldCharType="end"/>
            </w:r>
          </w:hyperlink>
        </w:p>
        <w:p w:rsidR="002924AC" w:rsidRDefault="00F52074">
          <w:pPr>
            <w:pStyle w:val="TOC1"/>
            <w:rPr>
              <w:rFonts w:asciiTheme="minorHAnsi" w:eastAsiaTheme="minorEastAsia" w:hAnsiTheme="minorHAnsi" w:cstheme="minorBidi"/>
              <w:noProof/>
              <w:sz w:val="22"/>
              <w:szCs w:val="22"/>
              <w:lang w:eastAsia="en-AU"/>
            </w:rPr>
          </w:pPr>
          <w:hyperlink w:anchor="_Toc34834162" w:history="1">
            <w:r w:rsidR="002924AC" w:rsidRPr="00566BF6">
              <w:rPr>
                <w:rStyle w:val="Hyperlink"/>
                <w:noProof/>
              </w:rPr>
              <w:t>Proposed amendments to the Cost Recovery Framework</w:t>
            </w:r>
            <w:r w:rsidR="002924AC">
              <w:rPr>
                <w:noProof/>
                <w:webHidden/>
              </w:rPr>
              <w:tab/>
            </w:r>
            <w:r w:rsidR="002924AC">
              <w:rPr>
                <w:noProof/>
                <w:webHidden/>
              </w:rPr>
              <w:fldChar w:fldCharType="begin"/>
            </w:r>
            <w:r w:rsidR="002924AC">
              <w:rPr>
                <w:noProof/>
                <w:webHidden/>
              </w:rPr>
              <w:instrText xml:space="preserve"> PAGEREF _Toc34834162 \h </w:instrText>
            </w:r>
            <w:r w:rsidR="002924AC">
              <w:rPr>
                <w:noProof/>
                <w:webHidden/>
              </w:rPr>
            </w:r>
            <w:r w:rsidR="002924AC">
              <w:rPr>
                <w:noProof/>
                <w:webHidden/>
              </w:rPr>
              <w:fldChar w:fldCharType="separate"/>
            </w:r>
            <w:r w:rsidR="002924AC">
              <w:rPr>
                <w:noProof/>
                <w:webHidden/>
              </w:rPr>
              <w:t>8</w:t>
            </w:r>
            <w:r w:rsidR="002924AC">
              <w:rPr>
                <w:noProof/>
                <w:webHidden/>
              </w:rPr>
              <w:fldChar w:fldCharType="end"/>
            </w:r>
          </w:hyperlink>
        </w:p>
        <w:p w:rsidR="002924AC" w:rsidRDefault="00F52074">
          <w:pPr>
            <w:pStyle w:val="TOC2"/>
            <w:rPr>
              <w:rFonts w:asciiTheme="minorHAnsi" w:eastAsiaTheme="minorEastAsia" w:hAnsiTheme="minorHAnsi" w:cstheme="minorBidi"/>
              <w:noProof/>
              <w:szCs w:val="22"/>
              <w:lang w:eastAsia="en-AU"/>
            </w:rPr>
          </w:pPr>
          <w:hyperlink w:anchor="_Toc34834163" w:history="1">
            <w:r w:rsidR="002924AC" w:rsidRPr="00566BF6">
              <w:rPr>
                <w:rStyle w:val="Hyperlink"/>
                <w:noProof/>
              </w:rPr>
              <w:t>Extension of cost recovery to medicinal cannabis Manufacture licences</w:t>
            </w:r>
            <w:r w:rsidR="002924AC">
              <w:rPr>
                <w:noProof/>
                <w:webHidden/>
              </w:rPr>
              <w:tab/>
            </w:r>
            <w:r w:rsidR="002924AC">
              <w:rPr>
                <w:noProof/>
                <w:webHidden/>
              </w:rPr>
              <w:fldChar w:fldCharType="begin"/>
            </w:r>
            <w:r w:rsidR="002924AC">
              <w:rPr>
                <w:noProof/>
                <w:webHidden/>
              </w:rPr>
              <w:instrText xml:space="preserve"> PAGEREF _Toc34834163 \h </w:instrText>
            </w:r>
            <w:r w:rsidR="002924AC">
              <w:rPr>
                <w:noProof/>
                <w:webHidden/>
              </w:rPr>
            </w:r>
            <w:r w:rsidR="002924AC">
              <w:rPr>
                <w:noProof/>
                <w:webHidden/>
              </w:rPr>
              <w:fldChar w:fldCharType="separate"/>
            </w:r>
            <w:r w:rsidR="002924AC">
              <w:rPr>
                <w:noProof/>
                <w:webHidden/>
              </w:rPr>
              <w:t>8</w:t>
            </w:r>
            <w:r w:rsidR="002924AC">
              <w:rPr>
                <w:noProof/>
                <w:webHidden/>
              </w:rPr>
              <w:fldChar w:fldCharType="end"/>
            </w:r>
          </w:hyperlink>
        </w:p>
        <w:p w:rsidR="002924AC" w:rsidRDefault="00F52074">
          <w:pPr>
            <w:pStyle w:val="TOC2"/>
            <w:rPr>
              <w:rFonts w:asciiTheme="minorHAnsi" w:eastAsiaTheme="minorEastAsia" w:hAnsiTheme="minorHAnsi" w:cstheme="minorBidi"/>
              <w:noProof/>
              <w:szCs w:val="22"/>
              <w:lang w:eastAsia="en-AU"/>
            </w:rPr>
          </w:pPr>
          <w:hyperlink w:anchor="_Toc34834164" w:history="1">
            <w:r w:rsidR="002924AC" w:rsidRPr="00566BF6">
              <w:rPr>
                <w:rStyle w:val="Hyperlink"/>
                <w:noProof/>
              </w:rPr>
              <w:t>Amendments to fees</w:t>
            </w:r>
            <w:r w:rsidR="002924AC">
              <w:rPr>
                <w:noProof/>
                <w:webHidden/>
              </w:rPr>
              <w:tab/>
            </w:r>
            <w:r w:rsidR="002924AC">
              <w:rPr>
                <w:noProof/>
                <w:webHidden/>
              </w:rPr>
              <w:fldChar w:fldCharType="begin"/>
            </w:r>
            <w:r w:rsidR="002924AC">
              <w:rPr>
                <w:noProof/>
                <w:webHidden/>
              </w:rPr>
              <w:instrText xml:space="preserve"> PAGEREF _Toc34834164 \h </w:instrText>
            </w:r>
            <w:r w:rsidR="002924AC">
              <w:rPr>
                <w:noProof/>
                <w:webHidden/>
              </w:rPr>
            </w:r>
            <w:r w:rsidR="002924AC">
              <w:rPr>
                <w:noProof/>
                <w:webHidden/>
              </w:rPr>
              <w:fldChar w:fldCharType="separate"/>
            </w:r>
            <w:r w:rsidR="002924AC">
              <w:rPr>
                <w:noProof/>
                <w:webHidden/>
              </w:rPr>
              <w:t>8</w:t>
            </w:r>
            <w:r w:rsidR="002924AC">
              <w:rPr>
                <w:noProof/>
                <w:webHidden/>
              </w:rPr>
              <w:fldChar w:fldCharType="end"/>
            </w:r>
          </w:hyperlink>
        </w:p>
        <w:p w:rsidR="002924AC" w:rsidRDefault="00F52074">
          <w:pPr>
            <w:pStyle w:val="TOC3"/>
            <w:rPr>
              <w:rFonts w:asciiTheme="minorHAnsi" w:eastAsiaTheme="minorEastAsia" w:hAnsiTheme="minorHAnsi" w:cstheme="minorBidi"/>
              <w:i w:val="0"/>
              <w:noProof/>
              <w:szCs w:val="22"/>
              <w:lang w:eastAsia="en-AU"/>
            </w:rPr>
          </w:pPr>
          <w:hyperlink w:anchor="_Toc34834165" w:history="1">
            <w:r w:rsidR="002924AC" w:rsidRPr="00566BF6">
              <w:rPr>
                <w:rStyle w:val="Hyperlink"/>
                <w:noProof/>
              </w:rPr>
              <w:t>Introduce a fee structure that reflects the number of licence applications submitted</w:t>
            </w:r>
            <w:r w:rsidR="002924AC">
              <w:rPr>
                <w:noProof/>
                <w:webHidden/>
              </w:rPr>
              <w:tab/>
            </w:r>
            <w:r w:rsidR="002924AC">
              <w:rPr>
                <w:noProof/>
                <w:webHidden/>
              </w:rPr>
              <w:fldChar w:fldCharType="begin"/>
            </w:r>
            <w:r w:rsidR="002924AC">
              <w:rPr>
                <w:noProof/>
                <w:webHidden/>
              </w:rPr>
              <w:instrText xml:space="preserve"> PAGEREF _Toc34834165 \h </w:instrText>
            </w:r>
            <w:r w:rsidR="002924AC">
              <w:rPr>
                <w:noProof/>
                <w:webHidden/>
              </w:rPr>
            </w:r>
            <w:r w:rsidR="002924AC">
              <w:rPr>
                <w:noProof/>
                <w:webHidden/>
              </w:rPr>
              <w:fldChar w:fldCharType="separate"/>
            </w:r>
            <w:r w:rsidR="002924AC">
              <w:rPr>
                <w:noProof/>
                <w:webHidden/>
              </w:rPr>
              <w:t>8</w:t>
            </w:r>
            <w:r w:rsidR="002924AC">
              <w:rPr>
                <w:noProof/>
                <w:webHidden/>
              </w:rPr>
              <w:fldChar w:fldCharType="end"/>
            </w:r>
          </w:hyperlink>
        </w:p>
        <w:p w:rsidR="002924AC" w:rsidRDefault="00F52074">
          <w:pPr>
            <w:pStyle w:val="TOC3"/>
            <w:rPr>
              <w:rFonts w:asciiTheme="minorHAnsi" w:eastAsiaTheme="minorEastAsia" w:hAnsiTheme="minorHAnsi" w:cstheme="minorBidi"/>
              <w:i w:val="0"/>
              <w:noProof/>
              <w:szCs w:val="22"/>
              <w:lang w:eastAsia="en-AU"/>
            </w:rPr>
          </w:pPr>
          <w:hyperlink w:anchor="_Toc34834166" w:history="1">
            <w:r w:rsidR="002924AC" w:rsidRPr="00566BF6">
              <w:rPr>
                <w:rStyle w:val="Hyperlink"/>
                <w:noProof/>
              </w:rPr>
              <w:t>Introduce a new fee structure for applications to vary a licence</w:t>
            </w:r>
            <w:r w:rsidR="002924AC">
              <w:rPr>
                <w:noProof/>
                <w:webHidden/>
              </w:rPr>
              <w:tab/>
            </w:r>
            <w:r w:rsidR="002924AC">
              <w:rPr>
                <w:noProof/>
                <w:webHidden/>
              </w:rPr>
              <w:fldChar w:fldCharType="begin"/>
            </w:r>
            <w:r w:rsidR="002924AC">
              <w:rPr>
                <w:noProof/>
                <w:webHidden/>
              </w:rPr>
              <w:instrText xml:space="preserve"> PAGEREF _Toc34834166 \h </w:instrText>
            </w:r>
            <w:r w:rsidR="002924AC">
              <w:rPr>
                <w:noProof/>
                <w:webHidden/>
              </w:rPr>
            </w:r>
            <w:r w:rsidR="002924AC">
              <w:rPr>
                <w:noProof/>
                <w:webHidden/>
              </w:rPr>
              <w:fldChar w:fldCharType="separate"/>
            </w:r>
            <w:r w:rsidR="002924AC">
              <w:rPr>
                <w:noProof/>
                <w:webHidden/>
              </w:rPr>
              <w:t>9</w:t>
            </w:r>
            <w:r w:rsidR="002924AC">
              <w:rPr>
                <w:noProof/>
                <w:webHidden/>
              </w:rPr>
              <w:fldChar w:fldCharType="end"/>
            </w:r>
          </w:hyperlink>
        </w:p>
        <w:p w:rsidR="002924AC" w:rsidRDefault="00F52074">
          <w:pPr>
            <w:pStyle w:val="TOC3"/>
            <w:rPr>
              <w:rFonts w:asciiTheme="minorHAnsi" w:eastAsiaTheme="minorEastAsia" w:hAnsiTheme="minorHAnsi" w:cstheme="minorBidi"/>
              <w:i w:val="0"/>
              <w:noProof/>
              <w:szCs w:val="22"/>
              <w:lang w:eastAsia="en-AU"/>
            </w:rPr>
          </w:pPr>
          <w:hyperlink w:anchor="_Toc34834167" w:history="1">
            <w:r w:rsidR="002924AC" w:rsidRPr="00566BF6">
              <w:rPr>
                <w:rStyle w:val="Hyperlink"/>
                <w:noProof/>
              </w:rPr>
              <w:t>Fees for permit variations</w:t>
            </w:r>
            <w:r w:rsidR="002924AC">
              <w:rPr>
                <w:noProof/>
                <w:webHidden/>
              </w:rPr>
              <w:tab/>
            </w:r>
            <w:r w:rsidR="002924AC">
              <w:rPr>
                <w:noProof/>
                <w:webHidden/>
              </w:rPr>
              <w:fldChar w:fldCharType="begin"/>
            </w:r>
            <w:r w:rsidR="002924AC">
              <w:rPr>
                <w:noProof/>
                <w:webHidden/>
              </w:rPr>
              <w:instrText xml:space="preserve"> PAGEREF _Toc34834167 \h </w:instrText>
            </w:r>
            <w:r w:rsidR="002924AC">
              <w:rPr>
                <w:noProof/>
                <w:webHidden/>
              </w:rPr>
            </w:r>
            <w:r w:rsidR="002924AC">
              <w:rPr>
                <w:noProof/>
                <w:webHidden/>
              </w:rPr>
              <w:fldChar w:fldCharType="separate"/>
            </w:r>
            <w:r w:rsidR="002924AC">
              <w:rPr>
                <w:noProof/>
                <w:webHidden/>
              </w:rPr>
              <w:t>9</w:t>
            </w:r>
            <w:r w:rsidR="002924AC">
              <w:rPr>
                <w:noProof/>
                <w:webHidden/>
              </w:rPr>
              <w:fldChar w:fldCharType="end"/>
            </w:r>
          </w:hyperlink>
        </w:p>
        <w:p w:rsidR="002924AC" w:rsidRDefault="00F52074">
          <w:pPr>
            <w:pStyle w:val="TOC3"/>
            <w:rPr>
              <w:rFonts w:asciiTheme="minorHAnsi" w:eastAsiaTheme="minorEastAsia" w:hAnsiTheme="minorHAnsi" w:cstheme="minorBidi"/>
              <w:i w:val="0"/>
              <w:noProof/>
              <w:szCs w:val="22"/>
              <w:lang w:eastAsia="en-AU"/>
            </w:rPr>
          </w:pPr>
          <w:hyperlink w:anchor="_Toc34834168" w:history="1">
            <w:r w:rsidR="002924AC" w:rsidRPr="00566BF6">
              <w:rPr>
                <w:rStyle w:val="Hyperlink"/>
                <w:noProof/>
              </w:rPr>
              <w:t>Introduce a new fee – Minor permit modification</w:t>
            </w:r>
            <w:r w:rsidR="002924AC">
              <w:rPr>
                <w:noProof/>
                <w:webHidden/>
              </w:rPr>
              <w:tab/>
            </w:r>
            <w:r w:rsidR="002924AC">
              <w:rPr>
                <w:noProof/>
                <w:webHidden/>
              </w:rPr>
              <w:fldChar w:fldCharType="begin"/>
            </w:r>
            <w:r w:rsidR="002924AC">
              <w:rPr>
                <w:noProof/>
                <w:webHidden/>
              </w:rPr>
              <w:instrText xml:space="preserve"> PAGEREF _Toc34834168 \h </w:instrText>
            </w:r>
            <w:r w:rsidR="002924AC">
              <w:rPr>
                <w:noProof/>
                <w:webHidden/>
              </w:rPr>
            </w:r>
            <w:r w:rsidR="002924AC">
              <w:rPr>
                <w:noProof/>
                <w:webHidden/>
              </w:rPr>
              <w:fldChar w:fldCharType="separate"/>
            </w:r>
            <w:r w:rsidR="002924AC">
              <w:rPr>
                <w:noProof/>
                <w:webHidden/>
              </w:rPr>
              <w:t>9</w:t>
            </w:r>
            <w:r w:rsidR="002924AC">
              <w:rPr>
                <w:noProof/>
                <w:webHidden/>
              </w:rPr>
              <w:fldChar w:fldCharType="end"/>
            </w:r>
          </w:hyperlink>
        </w:p>
        <w:p w:rsidR="002924AC" w:rsidRDefault="00F52074">
          <w:pPr>
            <w:pStyle w:val="TOC2"/>
            <w:rPr>
              <w:rFonts w:asciiTheme="minorHAnsi" w:eastAsiaTheme="minorEastAsia" w:hAnsiTheme="minorHAnsi" w:cstheme="minorBidi"/>
              <w:noProof/>
              <w:szCs w:val="22"/>
              <w:lang w:eastAsia="en-AU"/>
            </w:rPr>
          </w:pPr>
          <w:hyperlink w:anchor="_Toc34834169" w:history="1">
            <w:r w:rsidR="002924AC" w:rsidRPr="00566BF6">
              <w:rPr>
                <w:rStyle w:val="Hyperlink"/>
                <w:noProof/>
              </w:rPr>
              <w:t>Amendments to the annual charge</w:t>
            </w:r>
            <w:r w:rsidR="002924AC">
              <w:rPr>
                <w:noProof/>
                <w:webHidden/>
              </w:rPr>
              <w:tab/>
            </w:r>
            <w:r w:rsidR="002924AC">
              <w:rPr>
                <w:noProof/>
                <w:webHidden/>
              </w:rPr>
              <w:fldChar w:fldCharType="begin"/>
            </w:r>
            <w:r w:rsidR="002924AC">
              <w:rPr>
                <w:noProof/>
                <w:webHidden/>
              </w:rPr>
              <w:instrText xml:space="preserve"> PAGEREF _Toc34834169 \h </w:instrText>
            </w:r>
            <w:r w:rsidR="002924AC">
              <w:rPr>
                <w:noProof/>
                <w:webHidden/>
              </w:rPr>
            </w:r>
            <w:r w:rsidR="002924AC">
              <w:rPr>
                <w:noProof/>
                <w:webHidden/>
              </w:rPr>
              <w:fldChar w:fldCharType="separate"/>
            </w:r>
            <w:r w:rsidR="002924AC">
              <w:rPr>
                <w:noProof/>
                <w:webHidden/>
              </w:rPr>
              <w:t>10</w:t>
            </w:r>
            <w:r w:rsidR="002924AC">
              <w:rPr>
                <w:noProof/>
                <w:webHidden/>
              </w:rPr>
              <w:fldChar w:fldCharType="end"/>
            </w:r>
          </w:hyperlink>
        </w:p>
        <w:p w:rsidR="002924AC" w:rsidRDefault="00F52074">
          <w:pPr>
            <w:pStyle w:val="TOC3"/>
            <w:rPr>
              <w:rFonts w:asciiTheme="minorHAnsi" w:eastAsiaTheme="minorEastAsia" w:hAnsiTheme="minorHAnsi" w:cstheme="minorBidi"/>
              <w:i w:val="0"/>
              <w:noProof/>
              <w:szCs w:val="22"/>
              <w:lang w:eastAsia="en-AU"/>
            </w:rPr>
          </w:pPr>
          <w:hyperlink w:anchor="_Toc34834170" w:history="1">
            <w:r w:rsidR="002924AC" w:rsidRPr="00566BF6">
              <w:rPr>
                <w:rStyle w:val="Hyperlink"/>
                <w:noProof/>
              </w:rPr>
              <w:t>Introduce an annual licence charge and an annual site charge</w:t>
            </w:r>
            <w:r w:rsidR="002924AC">
              <w:rPr>
                <w:noProof/>
                <w:webHidden/>
              </w:rPr>
              <w:tab/>
            </w:r>
            <w:r w:rsidR="002924AC">
              <w:rPr>
                <w:noProof/>
                <w:webHidden/>
              </w:rPr>
              <w:fldChar w:fldCharType="begin"/>
            </w:r>
            <w:r w:rsidR="002924AC">
              <w:rPr>
                <w:noProof/>
                <w:webHidden/>
              </w:rPr>
              <w:instrText xml:space="preserve"> PAGEREF _Toc34834170 \h </w:instrText>
            </w:r>
            <w:r w:rsidR="002924AC">
              <w:rPr>
                <w:noProof/>
                <w:webHidden/>
              </w:rPr>
            </w:r>
            <w:r w:rsidR="002924AC">
              <w:rPr>
                <w:noProof/>
                <w:webHidden/>
              </w:rPr>
              <w:fldChar w:fldCharType="separate"/>
            </w:r>
            <w:r w:rsidR="002924AC">
              <w:rPr>
                <w:noProof/>
                <w:webHidden/>
              </w:rPr>
              <w:t>10</w:t>
            </w:r>
            <w:r w:rsidR="002924AC">
              <w:rPr>
                <w:noProof/>
                <w:webHidden/>
              </w:rPr>
              <w:fldChar w:fldCharType="end"/>
            </w:r>
          </w:hyperlink>
        </w:p>
        <w:p w:rsidR="002924AC" w:rsidRDefault="00F52074">
          <w:pPr>
            <w:pStyle w:val="TOC3"/>
            <w:rPr>
              <w:rFonts w:asciiTheme="minorHAnsi" w:eastAsiaTheme="minorEastAsia" w:hAnsiTheme="minorHAnsi" w:cstheme="minorBidi"/>
              <w:i w:val="0"/>
              <w:noProof/>
              <w:szCs w:val="22"/>
              <w:lang w:eastAsia="en-AU"/>
            </w:rPr>
          </w:pPr>
          <w:hyperlink w:anchor="_Toc34834171" w:history="1">
            <w:r w:rsidR="002924AC" w:rsidRPr="00566BF6">
              <w:rPr>
                <w:rStyle w:val="Hyperlink"/>
                <w:noProof/>
              </w:rPr>
              <w:t>Appendix C provides the price of the proposed annual licence and site charges.</w:t>
            </w:r>
            <w:r w:rsidR="002924AC">
              <w:rPr>
                <w:noProof/>
                <w:webHidden/>
              </w:rPr>
              <w:tab/>
            </w:r>
            <w:r w:rsidR="002924AC">
              <w:rPr>
                <w:noProof/>
                <w:webHidden/>
              </w:rPr>
              <w:fldChar w:fldCharType="begin"/>
            </w:r>
            <w:r w:rsidR="002924AC">
              <w:rPr>
                <w:noProof/>
                <w:webHidden/>
              </w:rPr>
              <w:instrText xml:space="preserve"> PAGEREF _Toc34834171 \h </w:instrText>
            </w:r>
            <w:r w:rsidR="002924AC">
              <w:rPr>
                <w:noProof/>
                <w:webHidden/>
              </w:rPr>
            </w:r>
            <w:r w:rsidR="002924AC">
              <w:rPr>
                <w:noProof/>
                <w:webHidden/>
              </w:rPr>
              <w:fldChar w:fldCharType="separate"/>
            </w:r>
            <w:r w:rsidR="002924AC">
              <w:rPr>
                <w:noProof/>
                <w:webHidden/>
              </w:rPr>
              <w:t>11</w:t>
            </w:r>
            <w:r w:rsidR="002924AC">
              <w:rPr>
                <w:noProof/>
                <w:webHidden/>
              </w:rPr>
              <w:fldChar w:fldCharType="end"/>
            </w:r>
          </w:hyperlink>
        </w:p>
        <w:p w:rsidR="002924AC" w:rsidRDefault="00F52074">
          <w:pPr>
            <w:pStyle w:val="TOC2"/>
            <w:rPr>
              <w:rFonts w:asciiTheme="minorHAnsi" w:eastAsiaTheme="minorEastAsia" w:hAnsiTheme="minorHAnsi" w:cstheme="minorBidi"/>
              <w:noProof/>
              <w:szCs w:val="22"/>
              <w:lang w:eastAsia="en-AU"/>
            </w:rPr>
          </w:pPr>
          <w:hyperlink w:anchor="_Toc34834172" w:history="1">
            <w:r w:rsidR="002924AC" w:rsidRPr="00566BF6">
              <w:rPr>
                <w:rStyle w:val="Hyperlink"/>
                <w:noProof/>
              </w:rPr>
              <w:t>Introduce new charges</w:t>
            </w:r>
            <w:r w:rsidR="002924AC">
              <w:rPr>
                <w:noProof/>
                <w:webHidden/>
              </w:rPr>
              <w:tab/>
            </w:r>
            <w:r w:rsidR="002924AC">
              <w:rPr>
                <w:noProof/>
                <w:webHidden/>
              </w:rPr>
              <w:fldChar w:fldCharType="begin"/>
            </w:r>
            <w:r w:rsidR="002924AC">
              <w:rPr>
                <w:noProof/>
                <w:webHidden/>
              </w:rPr>
              <w:instrText xml:space="preserve"> PAGEREF _Toc34834172 \h </w:instrText>
            </w:r>
            <w:r w:rsidR="002924AC">
              <w:rPr>
                <w:noProof/>
                <w:webHidden/>
              </w:rPr>
            </w:r>
            <w:r w:rsidR="002924AC">
              <w:rPr>
                <w:noProof/>
                <w:webHidden/>
              </w:rPr>
              <w:fldChar w:fldCharType="separate"/>
            </w:r>
            <w:r w:rsidR="002924AC">
              <w:rPr>
                <w:noProof/>
                <w:webHidden/>
              </w:rPr>
              <w:t>11</w:t>
            </w:r>
            <w:r w:rsidR="002924AC">
              <w:rPr>
                <w:noProof/>
                <w:webHidden/>
              </w:rPr>
              <w:fldChar w:fldCharType="end"/>
            </w:r>
          </w:hyperlink>
        </w:p>
        <w:p w:rsidR="002924AC" w:rsidRDefault="00F52074">
          <w:pPr>
            <w:pStyle w:val="TOC3"/>
            <w:rPr>
              <w:rFonts w:asciiTheme="minorHAnsi" w:eastAsiaTheme="minorEastAsia" w:hAnsiTheme="minorHAnsi" w:cstheme="minorBidi"/>
              <w:i w:val="0"/>
              <w:noProof/>
              <w:szCs w:val="22"/>
              <w:lang w:eastAsia="en-AU"/>
            </w:rPr>
          </w:pPr>
          <w:hyperlink w:anchor="_Toc34834173" w:history="1">
            <w:r w:rsidR="002924AC" w:rsidRPr="00566BF6">
              <w:rPr>
                <w:rStyle w:val="Hyperlink"/>
                <w:noProof/>
              </w:rPr>
              <w:t>Introduce new charges for follow up activities</w:t>
            </w:r>
            <w:r w:rsidR="002924AC">
              <w:rPr>
                <w:noProof/>
                <w:webHidden/>
              </w:rPr>
              <w:tab/>
            </w:r>
            <w:r w:rsidR="002924AC">
              <w:rPr>
                <w:noProof/>
                <w:webHidden/>
              </w:rPr>
              <w:fldChar w:fldCharType="begin"/>
            </w:r>
            <w:r w:rsidR="002924AC">
              <w:rPr>
                <w:noProof/>
                <w:webHidden/>
              </w:rPr>
              <w:instrText xml:space="preserve"> PAGEREF _Toc34834173 \h </w:instrText>
            </w:r>
            <w:r w:rsidR="002924AC">
              <w:rPr>
                <w:noProof/>
                <w:webHidden/>
              </w:rPr>
            </w:r>
            <w:r w:rsidR="002924AC">
              <w:rPr>
                <w:noProof/>
                <w:webHidden/>
              </w:rPr>
              <w:fldChar w:fldCharType="separate"/>
            </w:r>
            <w:r w:rsidR="002924AC">
              <w:rPr>
                <w:noProof/>
                <w:webHidden/>
              </w:rPr>
              <w:t>11</w:t>
            </w:r>
            <w:r w:rsidR="002924AC">
              <w:rPr>
                <w:noProof/>
                <w:webHidden/>
              </w:rPr>
              <w:fldChar w:fldCharType="end"/>
            </w:r>
          </w:hyperlink>
        </w:p>
        <w:p w:rsidR="002924AC" w:rsidRDefault="00F52074">
          <w:pPr>
            <w:pStyle w:val="TOC3"/>
            <w:rPr>
              <w:rFonts w:asciiTheme="minorHAnsi" w:eastAsiaTheme="minorEastAsia" w:hAnsiTheme="minorHAnsi" w:cstheme="minorBidi"/>
              <w:i w:val="0"/>
              <w:noProof/>
              <w:szCs w:val="22"/>
              <w:lang w:eastAsia="en-AU"/>
            </w:rPr>
          </w:pPr>
          <w:hyperlink w:anchor="_Toc34834174" w:history="1">
            <w:r w:rsidR="002924AC" w:rsidRPr="00566BF6">
              <w:rPr>
                <w:rStyle w:val="Hyperlink"/>
                <w:noProof/>
              </w:rPr>
              <w:t>Introduce new charges for investigation activities</w:t>
            </w:r>
            <w:r w:rsidR="002924AC">
              <w:rPr>
                <w:noProof/>
                <w:webHidden/>
              </w:rPr>
              <w:tab/>
            </w:r>
            <w:r w:rsidR="002924AC">
              <w:rPr>
                <w:noProof/>
                <w:webHidden/>
              </w:rPr>
              <w:fldChar w:fldCharType="begin"/>
            </w:r>
            <w:r w:rsidR="002924AC">
              <w:rPr>
                <w:noProof/>
                <w:webHidden/>
              </w:rPr>
              <w:instrText xml:space="preserve"> PAGEREF _Toc34834174 \h </w:instrText>
            </w:r>
            <w:r w:rsidR="002924AC">
              <w:rPr>
                <w:noProof/>
                <w:webHidden/>
              </w:rPr>
            </w:r>
            <w:r w:rsidR="002924AC">
              <w:rPr>
                <w:noProof/>
                <w:webHidden/>
              </w:rPr>
              <w:fldChar w:fldCharType="separate"/>
            </w:r>
            <w:r w:rsidR="002924AC">
              <w:rPr>
                <w:noProof/>
                <w:webHidden/>
              </w:rPr>
              <w:t>11</w:t>
            </w:r>
            <w:r w:rsidR="002924AC">
              <w:rPr>
                <w:noProof/>
                <w:webHidden/>
              </w:rPr>
              <w:fldChar w:fldCharType="end"/>
            </w:r>
          </w:hyperlink>
        </w:p>
        <w:p w:rsidR="002924AC" w:rsidRDefault="00F52074">
          <w:pPr>
            <w:pStyle w:val="TOC3"/>
            <w:rPr>
              <w:rFonts w:asciiTheme="minorHAnsi" w:eastAsiaTheme="minorEastAsia" w:hAnsiTheme="minorHAnsi" w:cstheme="minorBidi"/>
              <w:i w:val="0"/>
              <w:noProof/>
              <w:szCs w:val="22"/>
              <w:lang w:eastAsia="en-AU"/>
            </w:rPr>
          </w:pPr>
          <w:hyperlink w:anchor="_Toc34834175" w:history="1">
            <w:r w:rsidR="002924AC" w:rsidRPr="00566BF6">
              <w:rPr>
                <w:rStyle w:val="Hyperlink"/>
                <w:noProof/>
              </w:rPr>
              <w:t>Introduce new charges for enforcement activities</w:t>
            </w:r>
            <w:r w:rsidR="002924AC">
              <w:rPr>
                <w:noProof/>
                <w:webHidden/>
              </w:rPr>
              <w:tab/>
            </w:r>
            <w:r w:rsidR="002924AC">
              <w:rPr>
                <w:noProof/>
                <w:webHidden/>
              </w:rPr>
              <w:fldChar w:fldCharType="begin"/>
            </w:r>
            <w:r w:rsidR="002924AC">
              <w:rPr>
                <w:noProof/>
                <w:webHidden/>
              </w:rPr>
              <w:instrText xml:space="preserve"> PAGEREF _Toc34834175 \h </w:instrText>
            </w:r>
            <w:r w:rsidR="002924AC">
              <w:rPr>
                <w:noProof/>
                <w:webHidden/>
              </w:rPr>
            </w:r>
            <w:r w:rsidR="002924AC">
              <w:rPr>
                <w:noProof/>
                <w:webHidden/>
              </w:rPr>
              <w:fldChar w:fldCharType="separate"/>
            </w:r>
            <w:r w:rsidR="002924AC">
              <w:rPr>
                <w:noProof/>
                <w:webHidden/>
              </w:rPr>
              <w:t>12</w:t>
            </w:r>
            <w:r w:rsidR="002924AC">
              <w:rPr>
                <w:noProof/>
                <w:webHidden/>
              </w:rPr>
              <w:fldChar w:fldCharType="end"/>
            </w:r>
          </w:hyperlink>
        </w:p>
        <w:p w:rsidR="002924AC" w:rsidRDefault="00F52074">
          <w:pPr>
            <w:pStyle w:val="TOC2"/>
            <w:rPr>
              <w:rFonts w:asciiTheme="minorHAnsi" w:eastAsiaTheme="minorEastAsia" w:hAnsiTheme="minorHAnsi" w:cstheme="minorBidi"/>
              <w:noProof/>
              <w:szCs w:val="22"/>
              <w:lang w:eastAsia="en-AU"/>
            </w:rPr>
          </w:pPr>
          <w:hyperlink w:anchor="_Toc34834176" w:history="1">
            <w:r w:rsidR="002924AC" w:rsidRPr="00566BF6">
              <w:rPr>
                <w:rStyle w:val="Hyperlink"/>
                <w:noProof/>
              </w:rPr>
              <w:t>Indexation of fees and charges</w:t>
            </w:r>
            <w:r w:rsidR="002924AC">
              <w:rPr>
                <w:noProof/>
                <w:webHidden/>
              </w:rPr>
              <w:tab/>
            </w:r>
            <w:r w:rsidR="002924AC">
              <w:rPr>
                <w:noProof/>
                <w:webHidden/>
              </w:rPr>
              <w:fldChar w:fldCharType="begin"/>
            </w:r>
            <w:r w:rsidR="002924AC">
              <w:rPr>
                <w:noProof/>
                <w:webHidden/>
              </w:rPr>
              <w:instrText xml:space="preserve"> PAGEREF _Toc34834176 \h </w:instrText>
            </w:r>
            <w:r w:rsidR="002924AC">
              <w:rPr>
                <w:noProof/>
                <w:webHidden/>
              </w:rPr>
            </w:r>
            <w:r w:rsidR="002924AC">
              <w:rPr>
                <w:noProof/>
                <w:webHidden/>
              </w:rPr>
              <w:fldChar w:fldCharType="separate"/>
            </w:r>
            <w:r w:rsidR="002924AC">
              <w:rPr>
                <w:noProof/>
                <w:webHidden/>
              </w:rPr>
              <w:t>12</w:t>
            </w:r>
            <w:r w:rsidR="002924AC">
              <w:rPr>
                <w:noProof/>
                <w:webHidden/>
              </w:rPr>
              <w:fldChar w:fldCharType="end"/>
            </w:r>
          </w:hyperlink>
        </w:p>
        <w:p w:rsidR="002924AC" w:rsidRDefault="00F52074">
          <w:pPr>
            <w:pStyle w:val="TOC1"/>
            <w:rPr>
              <w:rFonts w:asciiTheme="minorHAnsi" w:eastAsiaTheme="minorEastAsia" w:hAnsiTheme="minorHAnsi" w:cstheme="minorBidi"/>
              <w:noProof/>
              <w:sz w:val="22"/>
              <w:szCs w:val="22"/>
              <w:lang w:eastAsia="en-AU"/>
            </w:rPr>
          </w:pPr>
          <w:hyperlink w:anchor="_Toc34834177" w:history="1">
            <w:r w:rsidR="002924AC" w:rsidRPr="00566BF6">
              <w:rPr>
                <w:rStyle w:val="Hyperlink"/>
                <w:rFonts w:eastAsiaTheme="minorHAnsi"/>
                <w:noProof/>
              </w:rPr>
              <w:t>Specific consideration of research licences</w:t>
            </w:r>
            <w:r w:rsidR="002924AC">
              <w:rPr>
                <w:noProof/>
                <w:webHidden/>
              </w:rPr>
              <w:tab/>
            </w:r>
            <w:r w:rsidR="002924AC">
              <w:rPr>
                <w:noProof/>
                <w:webHidden/>
              </w:rPr>
              <w:fldChar w:fldCharType="begin"/>
            </w:r>
            <w:r w:rsidR="002924AC">
              <w:rPr>
                <w:noProof/>
                <w:webHidden/>
              </w:rPr>
              <w:instrText xml:space="preserve"> PAGEREF _Toc34834177 \h </w:instrText>
            </w:r>
            <w:r w:rsidR="002924AC">
              <w:rPr>
                <w:noProof/>
                <w:webHidden/>
              </w:rPr>
            </w:r>
            <w:r w:rsidR="002924AC">
              <w:rPr>
                <w:noProof/>
                <w:webHidden/>
              </w:rPr>
              <w:fldChar w:fldCharType="separate"/>
            </w:r>
            <w:r w:rsidR="002924AC">
              <w:rPr>
                <w:noProof/>
                <w:webHidden/>
              </w:rPr>
              <w:t>12</w:t>
            </w:r>
            <w:r w:rsidR="002924AC">
              <w:rPr>
                <w:noProof/>
                <w:webHidden/>
              </w:rPr>
              <w:fldChar w:fldCharType="end"/>
            </w:r>
          </w:hyperlink>
        </w:p>
        <w:p w:rsidR="002924AC" w:rsidRDefault="00F52074">
          <w:pPr>
            <w:pStyle w:val="TOC1"/>
            <w:rPr>
              <w:rFonts w:asciiTheme="minorHAnsi" w:eastAsiaTheme="minorEastAsia" w:hAnsiTheme="minorHAnsi" w:cstheme="minorBidi"/>
              <w:noProof/>
              <w:sz w:val="22"/>
              <w:szCs w:val="22"/>
              <w:lang w:eastAsia="en-AU"/>
            </w:rPr>
          </w:pPr>
          <w:hyperlink w:anchor="_Toc34834178" w:history="1">
            <w:r w:rsidR="002924AC" w:rsidRPr="00566BF6">
              <w:rPr>
                <w:rStyle w:val="Hyperlink"/>
                <w:rFonts w:eastAsiaTheme="minorHAnsi"/>
                <w:noProof/>
              </w:rPr>
              <w:t>Transition arrangements for the single licence model</w:t>
            </w:r>
            <w:r w:rsidR="002924AC">
              <w:rPr>
                <w:noProof/>
                <w:webHidden/>
              </w:rPr>
              <w:tab/>
            </w:r>
            <w:r w:rsidR="002924AC">
              <w:rPr>
                <w:noProof/>
                <w:webHidden/>
              </w:rPr>
              <w:fldChar w:fldCharType="begin"/>
            </w:r>
            <w:r w:rsidR="002924AC">
              <w:rPr>
                <w:noProof/>
                <w:webHidden/>
              </w:rPr>
              <w:instrText xml:space="preserve"> PAGEREF _Toc34834178 \h </w:instrText>
            </w:r>
            <w:r w:rsidR="002924AC">
              <w:rPr>
                <w:noProof/>
                <w:webHidden/>
              </w:rPr>
            </w:r>
            <w:r w:rsidR="002924AC">
              <w:rPr>
                <w:noProof/>
                <w:webHidden/>
              </w:rPr>
              <w:fldChar w:fldCharType="separate"/>
            </w:r>
            <w:r w:rsidR="002924AC">
              <w:rPr>
                <w:noProof/>
                <w:webHidden/>
              </w:rPr>
              <w:t>13</w:t>
            </w:r>
            <w:r w:rsidR="002924AC">
              <w:rPr>
                <w:noProof/>
                <w:webHidden/>
              </w:rPr>
              <w:fldChar w:fldCharType="end"/>
            </w:r>
          </w:hyperlink>
        </w:p>
        <w:p w:rsidR="002924AC" w:rsidRDefault="00F52074">
          <w:pPr>
            <w:pStyle w:val="TOC1"/>
            <w:rPr>
              <w:rFonts w:asciiTheme="minorHAnsi" w:eastAsiaTheme="minorEastAsia" w:hAnsiTheme="minorHAnsi" w:cstheme="minorBidi"/>
              <w:noProof/>
              <w:sz w:val="22"/>
              <w:szCs w:val="22"/>
              <w:lang w:eastAsia="en-AU"/>
            </w:rPr>
          </w:pPr>
          <w:hyperlink w:anchor="_Toc34834179" w:history="1">
            <w:r w:rsidR="002924AC" w:rsidRPr="00566BF6">
              <w:rPr>
                <w:rStyle w:val="Hyperlink"/>
                <w:rFonts w:eastAsiaTheme="minorHAnsi"/>
                <w:noProof/>
              </w:rPr>
              <w:t>Next steps</w:t>
            </w:r>
            <w:r w:rsidR="002924AC">
              <w:rPr>
                <w:noProof/>
                <w:webHidden/>
              </w:rPr>
              <w:tab/>
            </w:r>
            <w:r w:rsidR="002924AC">
              <w:rPr>
                <w:noProof/>
                <w:webHidden/>
              </w:rPr>
              <w:fldChar w:fldCharType="begin"/>
            </w:r>
            <w:r w:rsidR="002924AC">
              <w:rPr>
                <w:noProof/>
                <w:webHidden/>
              </w:rPr>
              <w:instrText xml:space="preserve"> PAGEREF _Toc34834179 \h </w:instrText>
            </w:r>
            <w:r w:rsidR="002924AC">
              <w:rPr>
                <w:noProof/>
                <w:webHidden/>
              </w:rPr>
            </w:r>
            <w:r w:rsidR="002924AC">
              <w:rPr>
                <w:noProof/>
                <w:webHidden/>
              </w:rPr>
              <w:fldChar w:fldCharType="separate"/>
            </w:r>
            <w:r w:rsidR="002924AC">
              <w:rPr>
                <w:noProof/>
                <w:webHidden/>
              </w:rPr>
              <w:t>13</w:t>
            </w:r>
            <w:r w:rsidR="002924AC">
              <w:rPr>
                <w:noProof/>
                <w:webHidden/>
              </w:rPr>
              <w:fldChar w:fldCharType="end"/>
            </w:r>
          </w:hyperlink>
        </w:p>
        <w:p w:rsidR="002924AC" w:rsidRDefault="00F52074">
          <w:pPr>
            <w:pStyle w:val="TOC1"/>
            <w:rPr>
              <w:rFonts w:asciiTheme="minorHAnsi" w:eastAsiaTheme="minorEastAsia" w:hAnsiTheme="minorHAnsi" w:cstheme="minorBidi"/>
              <w:noProof/>
              <w:sz w:val="22"/>
              <w:szCs w:val="22"/>
              <w:lang w:eastAsia="en-AU"/>
            </w:rPr>
          </w:pPr>
          <w:hyperlink w:anchor="_Toc34834180" w:history="1">
            <w:r w:rsidR="002924AC" w:rsidRPr="00566BF6">
              <w:rPr>
                <w:rStyle w:val="Hyperlink"/>
                <w:noProof/>
              </w:rPr>
              <w:t>Appendix A: Diagram of current and proposed fees and charges</w:t>
            </w:r>
            <w:r w:rsidR="002924AC">
              <w:rPr>
                <w:noProof/>
                <w:webHidden/>
              </w:rPr>
              <w:tab/>
            </w:r>
            <w:r w:rsidR="002924AC">
              <w:rPr>
                <w:noProof/>
                <w:webHidden/>
              </w:rPr>
              <w:fldChar w:fldCharType="begin"/>
            </w:r>
            <w:r w:rsidR="002924AC">
              <w:rPr>
                <w:noProof/>
                <w:webHidden/>
              </w:rPr>
              <w:instrText xml:space="preserve"> PAGEREF _Toc34834180 \h </w:instrText>
            </w:r>
            <w:r w:rsidR="002924AC">
              <w:rPr>
                <w:noProof/>
                <w:webHidden/>
              </w:rPr>
            </w:r>
            <w:r w:rsidR="002924AC">
              <w:rPr>
                <w:noProof/>
                <w:webHidden/>
              </w:rPr>
              <w:fldChar w:fldCharType="separate"/>
            </w:r>
            <w:r w:rsidR="002924AC">
              <w:rPr>
                <w:noProof/>
                <w:webHidden/>
              </w:rPr>
              <w:t>14</w:t>
            </w:r>
            <w:r w:rsidR="002924AC">
              <w:rPr>
                <w:noProof/>
                <w:webHidden/>
              </w:rPr>
              <w:fldChar w:fldCharType="end"/>
            </w:r>
          </w:hyperlink>
        </w:p>
        <w:p w:rsidR="002924AC" w:rsidRDefault="00F52074">
          <w:pPr>
            <w:pStyle w:val="TOC1"/>
            <w:rPr>
              <w:rFonts w:asciiTheme="minorHAnsi" w:eastAsiaTheme="minorEastAsia" w:hAnsiTheme="minorHAnsi" w:cstheme="minorBidi"/>
              <w:noProof/>
              <w:sz w:val="22"/>
              <w:szCs w:val="22"/>
              <w:lang w:eastAsia="en-AU"/>
            </w:rPr>
          </w:pPr>
          <w:hyperlink w:anchor="_Toc34834181" w:history="1">
            <w:r w:rsidR="002924AC" w:rsidRPr="00566BF6">
              <w:rPr>
                <w:rStyle w:val="Hyperlink"/>
                <w:noProof/>
              </w:rPr>
              <w:t>Appendix B: Proposed prices of amended fees and charges</w:t>
            </w:r>
            <w:r w:rsidR="002924AC">
              <w:rPr>
                <w:noProof/>
                <w:webHidden/>
              </w:rPr>
              <w:tab/>
            </w:r>
            <w:r w:rsidR="002924AC">
              <w:rPr>
                <w:noProof/>
                <w:webHidden/>
              </w:rPr>
              <w:fldChar w:fldCharType="begin"/>
            </w:r>
            <w:r w:rsidR="002924AC">
              <w:rPr>
                <w:noProof/>
                <w:webHidden/>
              </w:rPr>
              <w:instrText xml:space="preserve"> PAGEREF _Toc34834181 \h </w:instrText>
            </w:r>
            <w:r w:rsidR="002924AC">
              <w:rPr>
                <w:noProof/>
                <w:webHidden/>
              </w:rPr>
            </w:r>
            <w:r w:rsidR="002924AC">
              <w:rPr>
                <w:noProof/>
                <w:webHidden/>
              </w:rPr>
              <w:fldChar w:fldCharType="separate"/>
            </w:r>
            <w:r w:rsidR="002924AC">
              <w:rPr>
                <w:noProof/>
                <w:webHidden/>
              </w:rPr>
              <w:t>15</w:t>
            </w:r>
            <w:r w:rsidR="002924AC">
              <w:rPr>
                <w:noProof/>
                <w:webHidden/>
              </w:rPr>
              <w:fldChar w:fldCharType="end"/>
            </w:r>
          </w:hyperlink>
        </w:p>
        <w:p w:rsidR="002924AC" w:rsidRDefault="00F52074">
          <w:pPr>
            <w:pStyle w:val="TOC1"/>
            <w:rPr>
              <w:rFonts w:asciiTheme="minorHAnsi" w:eastAsiaTheme="minorEastAsia" w:hAnsiTheme="minorHAnsi" w:cstheme="minorBidi"/>
              <w:noProof/>
              <w:sz w:val="22"/>
              <w:szCs w:val="22"/>
              <w:lang w:eastAsia="en-AU"/>
            </w:rPr>
          </w:pPr>
          <w:hyperlink w:anchor="_Toc34834182" w:history="1">
            <w:r w:rsidR="002924AC" w:rsidRPr="00566BF6">
              <w:rPr>
                <w:rStyle w:val="Hyperlink"/>
                <w:noProof/>
              </w:rPr>
              <w:t>Appendix C: Proposed prices of amended charges</w:t>
            </w:r>
            <w:r w:rsidR="002924AC">
              <w:rPr>
                <w:noProof/>
                <w:webHidden/>
              </w:rPr>
              <w:tab/>
            </w:r>
            <w:r w:rsidR="002924AC">
              <w:rPr>
                <w:noProof/>
                <w:webHidden/>
              </w:rPr>
              <w:fldChar w:fldCharType="begin"/>
            </w:r>
            <w:r w:rsidR="002924AC">
              <w:rPr>
                <w:noProof/>
                <w:webHidden/>
              </w:rPr>
              <w:instrText xml:space="preserve"> PAGEREF _Toc34834182 \h </w:instrText>
            </w:r>
            <w:r w:rsidR="002924AC">
              <w:rPr>
                <w:noProof/>
                <w:webHidden/>
              </w:rPr>
            </w:r>
            <w:r w:rsidR="002924AC">
              <w:rPr>
                <w:noProof/>
                <w:webHidden/>
              </w:rPr>
              <w:fldChar w:fldCharType="separate"/>
            </w:r>
            <w:r w:rsidR="002924AC">
              <w:rPr>
                <w:noProof/>
                <w:webHidden/>
              </w:rPr>
              <w:t>16</w:t>
            </w:r>
            <w:r w:rsidR="002924AC">
              <w:rPr>
                <w:noProof/>
                <w:webHidden/>
              </w:rPr>
              <w:fldChar w:fldCharType="end"/>
            </w:r>
          </w:hyperlink>
        </w:p>
        <w:p w:rsidR="00514ED1" w:rsidRPr="00215D48" w:rsidRDefault="00514ED1" w:rsidP="00514ED1">
          <w:r w:rsidRPr="00215D48">
            <w:fldChar w:fldCharType="end"/>
          </w:r>
        </w:p>
      </w:sdtContent>
    </w:sdt>
    <w:p w:rsidR="00514ED1" w:rsidRDefault="00B2102B" w:rsidP="008438DE">
      <w:pPr>
        <w:pStyle w:val="Heading2"/>
        <w:pageBreakBefore/>
      </w:pPr>
      <w:bookmarkStart w:id="0" w:name="_Toc323739589"/>
      <w:bookmarkStart w:id="1" w:name="_Toc356305216"/>
      <w:bookmarkStart w:id="2" w:name="_Toc34834155"/>
      <w:r>
        <w:lastRenderedPageBreak/>
        <w:t>Introduction</w:t>
      </w:r>
      <w:bookmarkEnd w:id="0"/>
      <w:bookmarkEnd w:id="1"/>
      <w:bookmarkEnd w:id="2"/>
    </w:p>
    <w:p w:rsidR="00B2102B" w:rsidRDefault="00B2102B" w:rsidP="00B2102B">
      <w:r>
        <w:t>A</w:t>
      </w:r>
      <w:r w:rsidRPr="00A503D2">
        <w:t xml:space="preserve"> comprehensive review of the</w:t>
      </w:r>
      <w:r>
        <w:t xml:space="preserve"> Medicinal Cannabis Cost Recovery Framework was undertaken in late 2019 and early 2020. This paper presents the findings of that review, summarises the proposed changes and seeks further feedback from stakeholders. The outcome of this review will inform the Australian Government’s consideration of the Medicinal Cannabis Cost Recovery Framework.</w:t>
      </w:r>
    </w:p>
    <w:p w:rsidR="00B2102B" w:rsidRPr="002F3F67" w:rsidRDefault="00B2102B" w:rsidP="00B2102B">
      <w:pPr>
        <w:pStyle w:val="Heading2"/>
      </w:pPr>
      <w:bookmarkStart w:id="3" w:name="_Toc34392585"/>
      <w:bookmarkStart w:id="4" w:name="_Toc34834156"/>
      <w:r w:rsidRPr="002F3F67">
        <w:t>Providing feedback</w:t>
      </w:r>
      <w:bookmarkEnd w:id="3"/>
      <w:bookmarkEnd w:id="4"/>
    </w:p>
    <w:p w:rsidR="00B2102B" w:rsidRDefault="00B2102B" w:rsidP="00B2102B">
      <w:r w:rsidRPr="006F3A11">
        <w:rPr>
          <w:rFonts w:asciiTheme="minorHAnsi" w:hAnsiTheme="minorHAnsi" w:cstheme="minorHAnsi"/>
        </w:rPr>
        <w:t>T</w:t>
      </w:r>
      <w:r w:rsidRPr="006F3A11">
        <w:t xml:space="preserve">he </w:t>
      </w:r>
      <w:r>
        <w:t>Office of Drug Control (ODC)</w:t>
      </w:r>
      <w:r w:rsidRPr="006F3A11">
        <w:t xml:space="preserve"> </w:t>
      </w:r>
      <w:r>
        <w:t xml:space="preserve">within the Department of Health </w:t>
      </w:r>
      <w:r w:rsidRPr="006F3A11">
        <w:t>hosted six engagement sessions with interested parties from November 2019 to early February 2020</w:t>
      </w:r>
      <w:r w:rsidRPr="004200ED">
        <w:t xml:space="preserve">. </w:t>
      </w:r>
      <w:r>
        <w:t>The sessions covered</w:t>
      </w:r>
      <w:r w:rsidRPr="004200ED">
        <w:t xml:space="preserve"> findings from the</w:t>
      </w:r>
      <w:r>
        <w:t xml:space="preserve"> </w:t>
      </w:r>
      <w:r w:rsidRPr="004200ED">
        <w:t xml:space="preserve">review </w:t>
      </w:r>
      <w:r>
        <w:t xml:space="preserve">of the Medicinal Cannabis Cost Recovery Framework </w:t>
      </w:r>
      <w:r w:rsidRPr="004200ED">
        <w:t xml:space="preserve">and sought feedback on proposed changes to the </w:t>
      </w:r>
      <w:r w:rsidRPr="00DA6AB3">
        <w:t>fees and charges</w:t>
      </w:r>
      <w:r>
        <w:t xml:space="preserve"> under the </w:t>
      </w:r>
      <w:r>
        <w:rPr>
          <w:i/>
        </w:rPr>
        <w:t>Narcotic Drugs Act 1967</w:t>
      </w:r>
      <w:r>
        <w:t xml:space="preserve"> (the Act)</w:t>
      </w:r>
      <w:r w:rsidR="008438DE">
        <w:t>.</w:t>
      </w:r>
    </w:p>
    <w:p w:rsidR="00B2102B" w:rsidRDefault="00B2102B" w:rsidP="00B2102B">
      <w:r>
        <w:t>The ODC now invites formal feedback on the matters outlined in this paper. In particular, views are sought on the introduction of:</w:t>
      </w:r>
    </w:p>
    <w:p w:rsidR="00B2102B" w:rsidRDefault="00B2102B" w:rsidP="006855EE">
      <w:pPr>
        <w:pStyle w:val="ListBullet"/>
      </w:pPr>
      <w:bookmarkStart w:id="5" w:name="_GoBack"/>
      <w:bookmarkEnd w:id="5"/>
      <w:r>
        <w:t>the minor permit modification fee</w:t>
      </w:r>
    </w:p>
    <w:p w:rsidR="00B2102B" w:rsidRDefault="00B2102B" w:rsidP="006855EE">
      <w:pPr>
        <w:pStyle w:val="ListBullet"/>
      </w:pPr>
      <w:r>
        <w:t>a licence charge</w:t>
      </w:r>
    </w:p>
    <w:p w:rsidR="00B2102B" w:rsidRPr="00413EC1" w:rsidRDefault="00B2102B" w:rsidP="006855EE">
      <w:pPr>
        <w:pStyle w:val="ListBullet"/>
      </w:pPr>
      <w:r>
        <w:t>a site charge</w:t>
      </w:r>
    </w:p>
    <w:p w:rsidR="00B2102B" w:rsidRDefault="00B2102B" w:rsidP="006855EE">
      <w:pPr>
        <w:pStyle w:val="ListBullet"/>
      </w:pPr>
      <w:r>
        <w:t>follow up charges for audit, inspection and sampling</w:t>
      </w:r>
    </w:p>
    <w:p w:rsidR="00B2102B" w:rsidRDefault="00B2102B" w:rsidP="006855EE">
      <w:pPr>
        <w:pStyle w:val="ListBullet"/>
      </w:pPr>
      <w:r>
        <w:t>investigation charges, and</w:t>
      </w:r>
    </w:p>
    <w:p w:rsidR="00B2102B" w:rsidRDefault="00B2102B" w:rsidP="006855EE">
      <w:pPr>
        <w:pStyle w:val="ListBullet"/>
      </w:pPr>
      <w:r>
        <w:t>enforcement charges.</w:t>
      </w:r>
    </w:p>
    <w:p w:rsidR="00B2102B" w:rsidRPr="006855EE" w:rsidRDefault="00B2102B" w:rsidP="006855EE">
      <w:r>
        <w:t xml:space="preserve">Feedback can be provided by completing </w:t>
      </w:r>
      <w:r w:rsidRPr="00D528BC">
        <w:t>the online consultation submission form to upload your feedback in either pdf or word format</w:t>
      </w:r>
      <w:r>
        <w:t xml:space="preserve">, or by submitting your feedback by email with the cover sheet to </w:t>
      </w:r>
      <w:hyperlink r:id="rId16" w:history="1">
        <w:r>
          <w:rPr>
            <w:rStyle w:val="Hyperlink"/>
          </w:rPr>
          <w:t>mcs@health.gov.au</w:t>
        </w:r>
      </w:hyperlink>
      <w:r>
        <w:t>.</w:t>
      </w:r>
    </w:p>
    <w:p w:rsidR="00B2102B" w:rsidRPr="006855EE" w:rsidRDefault="00B2102B" w:rsidP="00B2102B">
      <w:r>
        <w:t>You are requested to</w:t>
      </w:r>
      <w:r w:rsidRPr="00D528BC">
        <w:t xml:space="preserve"> provide any feedback to us by </w:t>
      </w:r>
      <w:r w:rsidRPr="00432629">
        <w:rPr>
          <w:b/>
        </w:rPr>
        <w:t>20 March 2020</w:t>
      </w:r>
      <w:r w:rsidRPr="00D528BC">
        <w:t>.</w:t>
      </w:r>
    </w:p>
    <w:p w:rsidR="00B2102B" w:rsidRDefault="00B2102B" w:rsidP="006855EE">
      <w:r>
        <w:t>Feedback from this consultation process will be taken into account prior to final recommendations being made for consideration by Government to amend the Cost Recovery Framework.</w:t>
      </w:r>
    </w:p>
    <w:p w:rsidR="00B2102B" w:rsidRPr="002F3F67" w:rsidRDefault="00B2102B" w:rsidP="00B2102B">
      <w:pPr>
        <w:pStyle w:val="Heading2"/>
      </w:pPr>
      <w:bookmarkStart w:id="6" w:name="_Toc34392586"/>
      <w:bookmarkStart w:id="7" w:name="_Toc34834157"/>
      <w:r w:rsidRPr="002F3F67">
        <w:t>About this paper</w:t>
      </w:r>
      <w:bookmarkEnd w:id="6"/>
      <w:bookmarkEnd w:id="7"/>
    </w:p>
    <w:p w:rsidR="00B2102B" w:rsidRDefault="00B2102B" w:rsidP="00B2102B">
      <w:r>
        <w:t>This paper is limited in scope to the Act as it relates to medicinal cannabis</w:t>
      </w:r>
      <w:r w:rsidRPr="004A5EF6">
        <w:t xml:space="preserve"> </w:t>
      </w:r>
      <w:r>
        <w:t>and the Act as it is in force at the date of publication. It does not have any implications for manufacture licences granted for other narcotics.</w:t>
      </w:r>
    </w:p>
    <w:p w:rsidR="00B2102B" w:rsidRDefault="00B2102B" w:rsidP="00B2102B">
      <w:r>
        <w:t xml:space="preserve">Note that the Government has announced its intention to amend the Act to implement the recommendations from the 2019 Independent Review of the </w:t>
      </w:r>
      <w:r w:rsidRPr="005A116F">
        <w:rPr>
          <w:i/>
        </w:rPr>
        <w:t>Narcotic Drugs Act 1967</w:t>
      </w:r>
      <w:r>
        <w:t>, and broader administrative reforms in the ODC. Following any future changes, the Cost Recovery Framework will be analysed to ensure it aligns to the reforms.</w:t>
      </w:r>
    </w:p>
    <w:p w:rsidR="00B2102B" w:rsidRPr="0058643B" w:rsidRDefault="00B2102B" w:rsidP="006855EE">
      <w:pPr>
        <w:pStyle w:val="Heading3"/>
      </w:pPr>
      <w:bookmarkStart w:id="8" w:name="_Toc34834158"/>
      <w:r w:rsidRPr="0058643B">
        <w:t>Transition arrangements for the Single Licence Model</w:t>
      </w:r>
      <w:bookmarkEnd w:id="8"/>
    </w:p>
    <w:p w:rsidR="00B2102B" w:rsidRDefault="00B2102B" w:rsidP="006855EE">
      <w:r>
        <w:t>This paper is focussed on the existing legislative arrangements. However noting the recommendations from the 2019 Independent Review</w:t>
      </w:r>
      <w:r>
        <w:rPr>
          <w:rStyle w:val="CommentReference"/>
        </w:rPr>
        <w:t xml:space="preserve">, </w:t>
      </w:r>
      <w:r>
        <w:t xml:space="preserve">you are invited to provide feedback on one issue relating to fees and the transition for existing licences to the single licence model </w:t>
      </w:r>
      <w:r>
        <w:lastRenderedPageBreak/>
        <w:t xml:space="preserve">recommended in the 2019 review. Further consultation on the operational elements of the transition arrangements would be conducted at a </w:t>
      </w:r>
      <w:r w:rsidR="006855EE">
        <w:t>later stage.</w:t>
      </w:r>
    </w:p>
    <w:p w:rsidR="00B2102B" w:rsidRDefault="00B2102B" w:rsidP="006855EE">
      <w:pPr>
        <w:pStyle w:val="Heading2"/>
      </w:pPr>
      <w:bookmarkStart w:id="9" w:name="_Toc34392587"/>
      <w:bookmarkStart w:id="10" w:name="_Toc34834159"/>
      <w:r w:rsidRPr="002F3F67">
        <w:t>Background</w:t>
      </w:r>
      <w:bookmarkEnd w:id="9"/>
      <w:bookmarkEnd w:id="10"/>
    </w:p>
    <w:p w:rsidR="00B2102B" w:rsidRPr="006855EE" w:rsidRDefault="00B2102B" w:rsidP="006855EE">
      <w:r>
        <w:t>Australian Government policy is that it will charge the non-government sector some or all the efficient costs of specific government activities.</w:t>
      </w:r>
      <w:r>
        <w:rPr>
          <w:rStyle w:val="FootnoteReference"/>
          <w:rFonts w:ascii="Calibri" w:hAnsi="Calibri"/>
        </w:rPr>
        <w:footnoteReference w:id="1"/>
      </w:r>
    </w:p>
    <w:p w:rsidR="00B2102B" w:rsidRDefault="00B2102B" w:rsidP="006855EE">
      <w:r>
        <w:t>When establishing the Medicinal Cannabis Scheme in 2016, the Government determined that it was appropriate to charge both fees and levies to those int</w:t>
      </w:r>
      <w:r w:rsidR="006855EE">
        <w:t>erested in entering the Scheme.</w:t>
      </w:r>
    </w:p>
    <w:p w:rsidR="00B2102B" w:rsidRDefault="00B2102B" w:rsidP="00B2102B">
      <w:r>
        <w:t>The Australian Government Cost Recovery Guidelines (RMG304) outline the cost recovery principles the ODC must comply with when reviewing the fees and charges associated with the Scheme. The diagram below and the explanation that follows outlines these principles.</w:t>
      </w:r>
    </w:p>
    <w:p w:rsidR="00B2102B" w:rsidRPr="00241B07" w:rsidRDefault="00B2102B" w:rsidP="006855EE">
      <w:r w:rsidRPr="00E71FE0">
        <w:rPr>
          <w:rFonts w:cs="Arial"/>
          <w:b/>
          <w:i/>
          <w:color w:val="00517D" w:themeColor="accent1" w:themeShade="BF"/>
        </w:rPr>
        <w:t>Efficiency and Effectiveness</w:t>
      </w:r>
      <w:r w:rsidRPr="006855EE">
        <w:t xml:space="preserve"> </w:t>
      </w:r>
      <w:r w:rsidRPr="00241B07">
        <w:t xml:space="preserve">– proper use of resources to meet the policy outcomes including administration costs proportional to revenue </w:t>
      </w:r>
      <w:r>
        <w:t>and</w:t>
      </w:r>
      <w:r w:rsidRPr="00241B07">
        <w:t xml:space="preserve"> charges.</w:t>
      </w:r>
    </w:p>
    <w:p w:rsidR="00B2102B" w:rsidRPr="00241B07" w:rsidRDefault="00B2102B" w:rsidP="00B2102B">
      <w:r w:rsidRPr="00E71FE0">
        <w:rPr>
          <w:rFonts w:cs="Arial"/>
          <w:b/>
          <w:i/>
          <w:color w:val="00517D" w:themeColor="accent1" w:themeShade="BF"/>
        </w:rPr>
        <w:t>Transparency and Accountability</w:t>
      </w:r>
      <w:r w:rsidRPr="006855EE">
        <w:t xml:space="preserve"> </w:t>
      </w:r>
      <w:r w:rsidRPr="00241B07">
        <w:t>– documentation of key information about the activity made available to all stakeholders (e.g. Cost Recovery Implementation Statement).</w:t>
      </w:r>
    </w:p>
    <w:p w:rsidR="00B2102B" w:rsidRDefault="00B2102B" w:rsidP="00B2102B">
      <w:r w:rsidRPr="00E71FE0">
        <w:rPr>
          <w:rFonts w:cs="Arial"/>
          <w:b/>
          <w:i/>
          <w:color w:val="00517D" w:themeColor="accent1" w:themeShade="BF"/>
        </w:rPr>
        <w:t>Stakeholder engagement</w:t>
      </w:r>
      <w:r w:rsidRPr="006855EE">
        <w:t xml:space="preserve"> </w:t>
      </w:r>
      <w:r w:rsidRPr="00241B07">
        <w:t>– all affected stakeholders are consulted throughout the cost recovery process.</w:t>
      </w:r>
    </w:p>
    <w:p w:rsidR="00B2102B" w:rsidRDefault="00B2102B" w:rsidP="00B2102B">
      <w:r>
        <w:rPr>
          <w:noProof/>
          <w:lang w:eastAsia="en-AU"/>
        </w:rPr>
        <w:drawing>
          <wp:inline distT="0" distB="0" distL="0" distR="0" wp14:anchorId="63847E83" wp14:editId="6CF6664B">
            <wp:extent cx="5635692" cy="3096000"/>
            <wp:effectExtent l="0" t="0" r="3175" b="9525"/>
            <wp:docPr id="4" name="Picture 4" descr="Cost recovery principles the ODC must comply with when reviewing the fees and charges associated with the Sc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3381" b="-1164"/>
                    <a:stretch/>
                  </pic:blipFill>
                  <pic:spPr bwMode="auto">
                    <a:xfrm>
                      <a:off x="0" y="0"/>
                      <a:ext cx="5638800" cy="3097707"/>
                    </a:xfrm>
                    <a:prstGeom prst="rect">
                      <a:avLst/>
                    </a:prstGeom>
                    <a:ln>
                      <a:noFill/>
                    </a:ln>
                    <a:extLst>
                      <a:ext uri="{53640926-AAD7-44D8-BBD7-CCE9431645EC}">
                        <a14:shadowObscured xmlns:a14="http://schemas.microsoft.com/office/drawing/2010/main"/>
                      </a:ext>
                    </a:extLst>
                  </pic:spPr>
                </pic:pic>
              </a:graphicData>
            </a:graphic>
          </wp:inline>
        </w:drawing>
      </w:r>
    </w:p>
    <w:p w:rsidR="00B2102B" w:rsidRDefault="00B2102B" w:rsidP="00B2102B">
      <w:r>
        <w:t>The costs of activities under the Act for medicinal cannabis are recovered through fees and a le</w:t>
      </w:r>
      <w:r w:rsidR="006855EE">
        <w:t>vy, known as the annual charge.</w:t>
      </w:r>
    </w:p>
    <w:p w:rsidR="00B2102B" w:rsidRPr="00241B07" w:rsidRDefault="00B2102B" w:rsidP="00B2102B">
      <w:r w:rsidRPr="00E71FE0">
        <w:rPr>
          <w:rFonts w:cs="Arial"/>
          <w:b/>
          <w:i/>
          <w:color w:val="00517D" w:themeColor="accent1" w:themeShade="BF"/>
        </w:rPr>
        <w:t>Fees</w:t>
      </w:r>
      <w:r w:rsidRPr="00F23329">
        <w:rPr>
          <w:rFonts w:cs="Arial"/>
          <w:i/>
          <w:color w:val="00517D" w:themeColor="accent1" w:themeShade="BF"/>
        </w:rPr>
        <w:t xml:space="preserve"> </w:t>
      </w:r>
      <w:r w:rsidRPr="00241B07">
        <w:t>are charged when a good, service or regulation is provided directly to a specific entity or organisation. Fees for applications or for inspections that relate to an application are applicable to</w:t>
      </w:r>
      <w:r w:rsidR="005730C5">
        <w:t xml:space="preserve"> </w:t>
      </w:r>
      <w:r w:rsidRPr="00241B07">
        <w:t xml:space="preserve">the person </w:t>
      </w:r>
      <w:r>
        <w:t>who</w:t>
      </w:r>
      <w:r w:rsidRPr="00241B07">
        <w:t xml:space="preserve"> submits the application or requests an inspection. The Act provides authority to impose fees and </w:t>
      </w:r>
      <w:r>
        <w:t xml:space="preserve">the </w:t>
      </w:r>
      <w:r w:rsidRPr="00423CCF">
        <w:rPr>
          <w:i/>
        </w:rPr>
        <w:t>Narcotic Drugs Regulation 2016</w:t>
      </w:r>
      <w:r w:rsidRPr="00241B07">
        <w:t xml:space="preserve"> list</w:t>
      </w:r>
      <w:r>
        <w:t>s</w:t>
      </w:r>
      <w:r w:rsidRPr="00241B07">
        <w:t xml:space="preserve"> the price of those fees.</w:t>
      </w:r>
    </w:p>
    <w:p w:rsidR="00B2102B" w:rsidRDefault="00B2102B" w:rsidP="001B2D99">
      <w:r w:rsidRPr="00E71FE0">
        <w:rPr>
          <w:rFonts w:cs="Arial"/>
          <w:b/>
          <w:i/>
          <w:color w:val="00517D" w:themeColor="accent1" w:themeShade="BF"/>
        </w:rPr>
        <w:lastRenderedPageBreak/>
        <w:t>Levies</w:t>
      </w:r>
      <w:r>
        <w:rPr>
          <w:rFonts w:asciiTheme="minorHAnsi" w:hAnsiTheme="minorHAnsi" w:cstheme="minorHAnsi"/>
        </w:rPr>
        <w:t xml:space="preserve"> </w:t>
      </w:r>
      <w:r w:rsidRPr="00241B07">
        <w:t xml:space="preserve">are charged when a good, service or regulation is provided to a group of individuals or organisations. The </w:t>
      </w:r>
      <w:r>
        <w:t>a</w:t>
      </w:r>
      <w:r w:rsidRPr="00241B07">
        <w:t xml:space="preserve">nnual charge, which all licence holders must pay, is a distribution of the costs of administering the Scheme, for example, the compliance monitoring costs. The </w:t>
      </w:r>
      <w:r w:rsidRPr="006D1692">
        <w:rPr>
          <w:i/>
        </w:rPr>
        <w:t>Narcotic Drugs (Licence Charges) Act 2016</w:t>
      </w:r>
      <w:r w:rsidRPr="00241B07">
        <w:t xml:space="preserve"> provide authority to impose an annual charge and the </w:t>
      </w:r>
      <w:r w:rsidRPr="006D1692">
        <w:rPr>
          <w:i/>
        </w:rPr>
        <w:t>Narcotic Drugs (Licence Charges) Regulation 2016</w:t>
      </w:r>
      <w:r w:rsidRPr="00241B07">
        <w:t xml:space="preserve"> lists the price of that charge.</w:t>
      </w:r>
    </w:p>
    <w:p w:rsidR="00B2102B" w:rsidRDefault="00B2102B" w:rsidP="001B2D99">
      <w:r w:rsidRPr="00552E21">
        <w:rPr>
          <w:rFonts w:cs="Arial"/>
          <w:b/>
          <w:i/>
          <w:color w:val="00517D" w:themeColor="accent1" w:themeShade="BF"/>
        </w:rPr>
        <w:t xml:space="preserve">Funding </w:t>
      </w:r>
      <w:r>
        <w:rPr>
          <w:rFonts w:cs="Arial"/>
        </w:rPr>
        <w:t>pr</w:t>
      </w:r>
      <w:r w:rsidRPr="00DB1799">
        <w:rPr>
          <w:rFonts w:cs="Arial"/>
        </w:rPr>
        <w:t xml:space="preserve">ovided </w:t>
      </w:r>
      <w:r>
        <w:t xml:space="preserve">for the regulatory functions of the Medicinal Cannabis Scheme occurs through the Federal Budget. The fees and charges recovered from applicants and licence holders enters the Consolidated Revenue Fund. This is a different funding arrangement from that of the Therapeutic Goods Administration (TGA), which has a special account allowing the TGA to manage revenue collected through fees and charges under the </w:t>
      </w:r>
      <w:r w:rsidRPr="00FF4BF0">
        <w:rPr>
          <w:i/>
        </w:rPr>
        <w:t>Therapeutic Goods Act 1989</w:t>
      </w:r>
      <w:r>
        <w:t>.</w:t>
      </w:r>
    </w:p>
    <w:p w:rsidR="00B2102B" w:rsidRDefault="00B2102B" w:rsidP="001B2D99">
      <w:r>
        <w:t xml:space="preserve">The ODC receives annual appropriation funding that is determined by the forecasting of work volumes, which are documented in a </w:t>
      </w:r>
      <w:r w:rsidRPr="00241B07">
        <w:t>Cost Recovery Implementation Statement</w:t>
      </w:r>
      <w:r>
        <w:t xml:space="preserve"> which is published annually and updated as necessary.</w:t>
      </w:r>
    </w:p>
    <w:p w:rsidR="00B2102B" w:rsidRPr="003376C0" w:rsidRDefault="00B2102B" w:rsidP="001B2D99">
      <w:r>
        <w:t xml:space="preserve">Government processes are available to review funding </w:t>
      </w:r>
      <w:r w:rsidRPr="003376C0">
        <w:t>where the funding previously provided is determined to be in</w:t>
      </w:r>
      <w:r w:rsidR="001B2D99">
        <w:t>adequate.</w:t>
      </w:r>
    </w:p>
    <w:p w:rsidR="00B2102B" w:rsidRPr="00F23329" w:rsidRDefault="00B2102B" w:rsidP="001B2D99">
      <w:pPr>
        <w:pStyle w:val="Heading2"/>
      </w:pPr>
      <w:bookmarkStart w:id="11" w:name="_Toc34392588"/>
      <w:bookmarkStart w:id="12" w:name="_Toc34834160"/>
      <w:r>
        <w:t>Re</w:t>
      </w:r>
      <w:r w:rsidRPr="00F23329">
        <w:t xml:space="preserve">view of the </w:t>
      </w:r>
      <w:r>
        <w:t>Cost Recovery F</w:t>
      </w:r>
      <w:r w:rsidRPr="00F23329">
        <w:t>ramework</w:t>
      </w:r>
      <w:bookmarkEnd w:id="11"/>
      <w:bookmarkEnd w:id="12"/>
    </w:p>
    <w:p w:rsidR="00B2102B" w:rsidRDefault="00B2102B" w:rsidP="001B2D99">
      <w:r>
        <w:t>An activity based costing exercise was undertaken to document the tasks associated with the functions provided for in the Scheme, determining the average efficient time spent by a departmental employee on each task. This process included accounting for the time spent across tasks such as generating invoices, licence application assessme</w:t>
      </w:r>
      <w:r w:rsidR="001B2D99">
        <w:t>nts and compliance inspections.</w:t>
      </w:r>
    </w:p>
    <w:p w:rsidR="00B2102B" w:rsidRDefault="00B2102B" w:rsidP="001B2D99">
      <w:r>
        <w:t>The Department of Finance was consulted on proposed amendments to the Cost Recovery Framework and provided advice on the implementation of the proposed changes to fees and</w:t>
      </w:r>
      <w:r w:rsidR="001B2D99">
        <w:t xml:space="preserve"> charges to comply with RMG304.</w:t>
      </w:r>
    </w:p>
    <w:p w:rsidR="00B2102B" w:rsidRDefault="00B2102B" w:rsidP="001B2D99">
      <w:r>
        <w:t>This has resulted in some changes to those raised in stakeholder engagement sessions, specifically with regard to the proposed charges.</w:t>
      </w:r>
    </w:p>
    <w:p w:rsidR="00B2102B" w:rsidRPr="0058643B" w:rsidRDefault="00B2102B" w:rsidP="001B2D99">
      <w:pPr>
        <w:pStyle w:val="Heading3"/>
      </w:pPr>
      <w:bookmarkStart w:id="13" w:name="_Toc34834161"/>
      <w:r w:rsidRPr="0058643B">
        <w:t>Findings of the review into the Cost Recovery Framework and Stakeholder Consultation Engagement Sessions</w:t>
      </w:r>
      <w:bookmarkEnd w:id="13"/>
    </w:p>
    <w:p w:rsidR="00B2102B" w:rsidRPr="004B4EEB" w:rsidRDefault="00B2102B" w:rsidP="001B2D99">
      <w:r>
        <w:t>The findings consistently noted that:</w:t>
      </w:r>
    </w:p>
    <w:p w:rsidR="00B2102B" w:rsidRDefault="00B2102B" w:rsidP="001B2D99">
      <w:pPr>
        <w:pStyle w:val="ListBullet"/>
      </w:pPr>
      <w:r>
        <w:t>in order to adequately resource the ODC,</w:t>
      </w:r>
      <w:r w:rsidRPr="000B3F58">
        <w:t xml:space="preserve"> </w:t>
      </w:r>
      <w:r>
        <w:t>and remove any cross subsidisation, the ODC should recover the costs of assessment and compliance activities associated with  manufacture licences</w:t>
      </w:r>
    </w:p>
    <w:p w:rsidR="00B2102B" w:rsidRPr="00464777" w:rsidRDefault="00B2102B" w:rsidP="006855EE">
      <w:pPr>
        <w:pStyle w:val="ListBullet"/>
      </w:pPr>
      <w:r>
        <w:t>the current cost and structure of the fees and charges do not effectively recover the regulatory costs for the ODC to administer the Scheme</w:t>
      </w:r>
    </w:p>
    <w:p w:rsidR="00B2102B" w:rsidRDefault="00B2102B" w:rsidP="006855EE">
      <w:pPr>
        <w:pStyle w:val="ListBullet"/>
      </w:pPr>
      <w:r>
        <w:t>the existing fee structure does not account for the effort to assess applications for complex and simple variations to licences</w:t>
      </w:r>
    </w:p>
    <w:p w:rsidR="00B2102B" w:rsidRDefault="00B2102B" w:rsidP="006855EE">
      <w:pPr>
        <w:pStyle w:val="ListBullet"/>
      </w:pPr>
      <w:r>
        <w:t>cost of fees for multiple applications do not consider efficiencies obtained through simultaneous assessment of these applications (where appropriate)</w:t>
      </w:r>
    </w:p>
    <w:p w:rsidR="00B2102B" w:rsidRDefault="00B2102B" w:rsidP="001B2D99">
      <w:pPr>
        <w:pStyle w:val="ListBullet"/>
      </w:pPr>
      <w:r>
        <w:t xml:space="preserve">the average time from granting a licence to granting a permit is around two years as licence holders require time for complete construction of a </w:t>
      </w:r>
      <w:r w:rsidRPr="00663539">
        <w:t>site</w:t>
      </w:r>
      <w:r w:rsidR="001B2D99">
        <w:t xml:space="preserve"> or facility</w:t>
      </w:r>
    </w:p>
    <w:p w:rsidR="00B2102B" w:rsidRDefault="00B2102B" w:rsidP="006855EE">
      <w:pPr>
        <w:pStyle w:val="ListBullet"/>
      </w:pPr>
      <w:r>
        <w:lastRenderedPageBreak/>
        <w:t>the annual charge does not differentiate between a licence holder’s compliance history, meaning those that are highly compliant pay the same charges as those who are non</w:t>
      </w:r>
      <w:r w:rsidR="00EF17D1">
        <w:noBreakHyphen/>
      </w:r>
      <w:r>
        <w:t>compliant, despite non-compliance requiring greater effort by the ODC, and</w:t>
      </w:r>
    </w:p>
    <w:p w:rsidR="00B2102B" w:rsidRDefault="00B2102B" w:rsidP="006855EE">
      <w:pPr>
        <w:pStyle w:val="ListBullet"/>
      </w:pPr>
      <w:r>
        <w:t>indexation of fees and charges should occur annually but has not been adjusted since introduction of the Medicinal Cannabis Scheme.</w:t>
      </w:r>
    </w:p>
    <w:p w:rsidR="00B2102B" w:rsidRPr="00AE4983" w:rsidRDefault="00B2102B" w:rsidP="001B2D99">
      <w:pPr>
        <w:pStyle w:val="Heading2"/>
      </w:pPr>
      <w:bookmarkStart w:id="14" w:name="_Toc34392589"/>
      <w:bookmarkStart w:id="15" w:name="_Toc34834162"/>
      <w:r>
        <w:t>Proposed amendments to the Cost Recovery Framework</w:t>
      </w:r>
      <w:bookmarkEnd w:id="14"/>
      <w:bookmarkEnd w:id="15"/>
    </w:p>
    <w:p w:rsidR="00B2102B" w:rsidRDefault="00B2102B" w:rsidP="001B2D99">
      <w:r>
        <w:t>A number of proposed amendments are being considered to the Cost Recovery Framework in response to the findings of the review. The proposed amendments fall broadly into four categories:</w:t>
      </w:r>
    </w:p>
    <w:p w:rsidR="00B2102B" w:rsidRPr="001B2D99" w:rsidRDefault="00B2102B" w:rsidP="001B2D99">
      <w:pPr>
        <w:pStyle w:val="ListBullet"/>
      </w:pPr>
      <w:r>
        <w:t xml:space="preserve">extending </w:t>
      </w:r>
      <w:r w:rsidRPr="001B2D99">
        <w:t>cost recovery to medicinal cannabis manufacture licences</w:t>
      </w:r>
    </w:p>
    <w:p w:rsidR="00B2102B" w:rsidRPr="001B2D99" w:rsidRDefault="00B2102B" w:rsidP="001B2D99">
      <w:pPr>
        <w:pStyle w:val="ListBullet"/>
      </w:pPr>
      <w:r w:rsidRPr="001B2D99">
        <w:t>amendments to fees</w:t>
      </w:r>
    </w:p>
    <w:p w:rsidR="00B2102B" w:rsidRPr="001B2D99" w:rsidRDefault="00B2102B" w:rsidP="001B2D99">
      <w:pPr>
        <w:pStyle w:val="ListBullet"/>
      </w:pPr>
      <w:r w:rsidRPr="001B2D99">
        <w:t>amendments to the annual charge, and</w:t>
      </w:r>
    </w:p>
    <w:p w:rsidR="00B2102B" w:rsidRDefault="00B2102B" w:rsidP="001B2D99">
      <w:pPr>
        <w:pStyle w:val="ListBullet"/>
      </w:pPr>
      <w:r w:rsidRPr="001B2D99">
        <w:t>indexation of fees and cha</w:t>
      </w:r>
      <w:r>
        <w:t>rges.</w:t>
      </w:r>
    </w:p>
    <w:p w:rsidR="00B2102B" w:rsidRDefault="00F52074" w:rsidP="001B2D99">
      <w:hyperlink w:anchor="_Appendix_A:_Diagram" w:history="1">
        <w:r w:rsidR="00B2102B" w:rsidRPr="001B2D99">
          <w:rPr>
            <w:rStyle w:val="Hyperlink"/>
            <w:rFonts w:cs="Arial"/>
            <w:b/>
            <w:i/>
          </w:rPr>
          <w:t>Appendix A</w:t>
        </w:r>
      </w:hyperlink>
      <w:r w:rsidR="00B2102B">
        <w:t xml:space="preserve"> provides diagram of current fees and charges compared with proposed fees and charges.</w:t>
      </w:r>
    </w:p>
    <w:p w:rsidR="00B2102B" w:rsidRDefault="00B2102B" w:rsidP="001B2D99">
      <w:pPr>
        <w:pStyle w:val="Heading3"/>
      </w:pPr>
      <w:bookmarkStart w:id="16" w:name="_Toc34392590"/>
      <w:bookmarkStart w:id="17" w:name="_Toc34834163"/>
      <w:r>
        <w:t>Extension of cost recovery to medicinal cannabis M</w:t>
      </w:r>
      <w:r w:rsidRPr="00277F08">
        <w:t>anufacture licences</w:t>
      </w:r>
      <w:bookmarkEnd w:id="16"/>
      <w:bookmarkEnd w:id="17"/>
    </w:p>
    <w:p w:rsidR="00B2102B" w:rsidRDefault="00B2102B" w:rsidP="001B2D99">
      <w:r>
        <w:t>To date licence and permits for the manufacture of medicinal cannabis do not attract fees or charges. However, the review found that cost recovery of fees and charges should be extended to licences and permits issued for the manufacture of medicinal cannabis to ensure that the ODC receives adequate revenue to support the work it undertakes. This is also important to ensure that the administration of the Scheme aligns with the Australian Government Cost Recovery Guidelines.</w:t>
      </w:r>
    </w:p>
    <w:p w:rsidR="00B2102B" w:rsidRDefault="00B2102B" w:rsidP="001B2D99">
      <w:r>
        <w:t>The significance of this is that the overall cost of regulating the Medicinal Cannabis Scheme and the Act, recovered through fees and the annual charge, will be distributed more equally across the medicinal cannabis sector.</w:t>
      </w:r>
    </w:p>
    <w:p w:rsidR="00B2102B" w:rsidRPr="002B59F7" w:rsidRDefault="00B2102B" w:rsidP="001B2D99">
      <w:pPr>
        <w:pStyle w:val="Heading3"/>
      </w:pPr>
      <w:bookmarkStart w:id="18" w:name="_Toc34392591"/>
      <w:bookmarkStart w:id="19" w:name="_Toc34834164"/>
      <w:r>
        <w:t>Amendments to fees</w:t>
      </w:r>
      <w:bookmarkEnd w:id="18"/>
      <w:bookmarkEnd w:id="19"/>
    </w:p>
    <w:p w:rsidR="00B2102B" w:rsidRDefault="00B2102B" w:rsidP="00B2102B">
      <w:r w:rsidRPr="00464777">
        <w:t xml:space="preserve">The review found that the existing </w:t>
      </w:r>
      <w:r>
        <w:t xml:space="preserve">price of the fees does not adequately recover the costs for undertaking those activities. For most activities, the time required to complete the relevant tasks associated with the fees is significantly higher than what was forecast before the Medicinal Cannabis Scheme came into effect. </w:t>
      </w:r>
      <w:hyperlink w:anchor="_Appendix_B:_Proposed" w:history="1">
        <w:r w:rsidRPr="001B2D99">
          <w:rPr>
            <w:rStyle w:val="Hyperlink"/>
            <w:rFonts w:cs="Arial"/>
            <w:b/>
            <w:i/>
          </w:rPr>
          <w:t>Appendix B</w:t>
        </w:r>
      </w:hyperlink>
      <w:r>
        <w:t xml:space="preserve"> provides proposed costs for each fee.</w:t>
      </w:r>
    </w:p>
    <w:p w:rsidR="00B2102B" w:rsidRPr="00B2102B" w:rsidRDefault="00B2102B" w:rsidP="001B2D99">
      <w:pPr>
        <w:pStyle w:val="Heading4"/>
      </w:pPr>
      <w:bookmarkStart w:id="20" w:name="_Toc34392592"/>
      <w:bookmarkStart w:id="21" w:name="_Toc34834165"/>
      <w:r w:rsidRPr="00B2102B">
        <w:t>Introduce a fee structure that reflects the number of licence applications submitted</w:t>
      </w:r>
      <w:bookmarkEnd w:id="20"/>
      <w:bookmarkEnd w:id="21"/>
    </w:p>
    <w:p w:rsidR="00B2102B" w:rsidRDefault="00B2102B" w:rsidP="001B2D99">
      <w:r w:rsidRPr="00A1527A">
        <w:t xml:space="preserve">The </w:t>
      </w:r>
      <w:r>
        <w:t>current</w:t>
      </w:r>
      <w:r w:rsidRPr="00A1527A">
        <w:t xml:space="preserve"> fee structure </w:t>
      </w:r>
      <w:r>
        <w:t>only accounts</w:t>
      </w:r>
      <w:r w:rsidRPr="00A1527A">
        <w:t xml:space="preserve"> for </w:t>
      </w:r>
      <w:r>
        <w:t>some</w:t>
      </w:r>
      <w:r w:rsidRPr="00A1527A">
        <w:t xml:space="preserve"> eff</w:t>
      </w:r>
      <w:r>
        <w:t>iciencies gained when concurrently assessing applications (e.g. a medicinal cannabis licence and cannabis research licence application submitted at the same time). Efficiencies will also be gained, should, as recommended, a fee for manufacture licences be introduced. Therefore, the following structure for licence application fees is proposed:</w:t>
      </w:r>
    </w:p>
    <w:p w:rsidR="00B2102B" w:rsidRPr="001B2D99" w:rsidRDefault="00B2102B" w:rsidP="001B2D99">
      <w:pPr>
        <w:pStyle w:val="ListBullet"/>
      </w:pPr>
      <w:r>
        <w:t>a</w:t>
      </w:r>
      <w:r w:rsidRPr="00A1527A">
        <w:t>pplication fee for a single licenc</w:t>
      </w:r>
      <w:r w:rsidRPr="001B2D99">
        <w:t>e application</w:t>
      </w:r>
    </w:p>
    <w:p w:rsidR="00B2102B" w:rsidRPr="001B2D99" w:rsidRDefault="00B2102B" w:rsidP="001B2D99">
      <w:pPr>
        <w:pStyle w:val="ListBullet"/>
      </w:pPr>
      <w:r w:rsidRPr="001B2D99">
        <w:t>application for two licence applications, and</w:t>
      </w:r>
    </w:p>
    <w:p w:rsidR="00B2102B" w:rsidRPr="001B2D99" w:rsidRDefault="00B2102B" w:rsidP="001B2D99">
      <w:pPr>
        <w:pStyle w:val="ListBullet"/>
      </w:pPr>
      <w:r w:rsidRPr="001B2D99">
        <w:t>application fee for three licence applications.</w:t>
      </w:r>
    </w:p>
    <w:p w:rsidR="00B2102B" w:rsidRDefault="00B2102B" w:rsidP="001B2D99">
      <w:r>
        <w:lastRenderedPageBreak/>
        <w:t>The fees are applicable only when submitting applications at the same time. Additional applications submitted at a different time will incur a single licence application fee.</w:t>
      </w:r>
    </w:p>
    <w:p w:rsidR="00B2102B" w:rsidRPr="001E3F12" w:rsidRDefault="00B2102B" w:rsidP="001B2D99">
      <w:pPr>
        <w:pStyle w:val="Heading4"/>
      </w:pPr>
      <w:bookmarkStart w:id="22" w:name="_Toc34392593"/>
      <w:bookmarkStart w:id="23" w:name="_Toc34834166"/>
      <w:r w:rsidRPr="001E3F12">
        <w:t>Introduce a new fee structure for applications to vary a licence</w:t>
      </w:r>
      <w:bookmarkEnd w:id="22"/>
      <w:bookmarkEnd w:id="23"/>
    </w:p>
    <w:p w:rsidR="00B2102B" w:rsidRDefault="00B2102B" w:rsidP="001B2D99">
      <w:r>
        <w:t>The review determined that the effort required for the assessment of an application to vary a licence differs significantly, depending on the nature of the variation. Two</w:t>
      </w:r>
      <w:r w:rsidRPr="00E473E9">
        <w:t xml:space="preserve"> </w:t>
      </w:r>
      <w:r>
        <w:t>variation types—simple and complex — were identified and an application fee is proposed for each type to reflect the effort involved.</w:t>
      </w:r>
    </w:p>
    <w:p w:rsidR="00B2102B" w:rsidRDefault="00B2102B" w:rsidP="00B2102B">
      <w:r w:rsidRPr="006157AC">
        <w:rPr>
          <w:rFonts w:cs="Arial"/>
          <w:i/>
        </w:rPr>
        <w:t>Simple variations</w:t>
      </w:r>
      <w:r w:rsidRPr="001E3F12">
        <w:t xml:space="preserve"> </w:t>
      </w:r>
      <w:r w:rsidRPr="00E473E9">
        <w:t>require less effort</w:t>
      </w:r>
      <w:r>
        <w:t>; the following are examples of simple variations:</w:t>
      </w:r>
    </w:p>
    <w:p w:rsidR="00B2102B" w:rsidRDefault="00B2102B" w:rsidP="006855EE">
      <w:pPr>
        <w:pStyle w:val="ListBullet"/>
      </w:pPr>
      <w:r>
        <w:t>changing the period of the licence, or</w:t>
      </w:r>
    </w:p>
    <w:p w:rsidR="00B2102B" w:rsidRPr="00D854C2" w:rsidRDefault="00B2102B" w:rsidP="006157AC">
      <w:pPr>
        <w:pStyle w:val="ListBullet"/>
      </w:pPr>
      <w:r>
        <w:t>changing company trading name.</w:t>
      </w:r>
    </w:p>
    <w:p w:rsidR="00B2102B" w:rsidRDefault="00B2102B" w:rsidP="00B2102B">
      <w:r w:rsidRPr="006157AC">
        <w:rPr>
          <w:rFonts w:cs="Arial"/>
          <w:i/>
        </w:rPr>
        <w:t>Complex variations</w:t>
      </w:r>
      <w:r w:rsidRPr="006157AC">
        <w:t xml:space="preserve"> </w:t>
      </w:r>
      <w:r w:rsidRPr="00E473E9">
        <w:t xml:space="preserve">require significantly more effort </w:t>
      </w:r>
      <w:r>
        <w:t xml:space="preserve">and are often similar to a new </w:t>
      </w:r>
      <w:r w:rsidRPr="00E473E9">
        <w:t xml:space="preserve">licence assessment in that they are a significant change to the operations of the licence holder. </w:t>
      </w:r>
    </w:p>
    <w:p w:rsidR="00B2102B" w:rsidRDefault="00B2102B" w:rsidP="006157AC">
      <w:r>
        <w:t xml:space="preserve">The </w:t>
      </w:r>
      <w:r w:rsidRPr="00E473E9">
        <w:t>following</w:t>
      </w:r>
      <w:r>
        <w:t xml:space="preserve"> </w:t>
      </w:r>
      <w:r w:rsidRPr="00E473E9">
        <w:t xml:space="preserve">variations </w:t>
      </w:r>
      <w:r>
        <w:t>are</w:t>
      </w:r>
      <w:r w:rsidRPr="00E473E9">
        <w:t xml:space="preserve"> </w:t>
      </w:r>
      <w:r>
        <w:t>examples of complex variations:</w:t>
      </w:r>
    </w:p>
    <w:p w:rsidR="00B2102B" w:rsidRDefault="00B2102B" w:rsidP="006855EE">
      <w:pPr>
        <w:pStyle w:val="ListBullet"/>
      </w:pPr>
      <w:r>
        <w:t>e</w:t>
      </w:r>
      <w:r w:rsidRPr="00E473E9">
        <w:t xml:space="preserve">xpanding an existing site </w:t>
      </w:r>
      <w:r>
        <w:t>or facility to include new cultivation, production or manufacture areas, or</w:t>
      </w:r>
    </w:p>
    <w:p w:rsidR="00B2102B" w:rsidRDefault="00B2102B" w:rsidP="006855EE">
      <w:pPr>
        <w:pStyle w:val="ListBullet"/>
      </w:pPr>
      <w:r>
        <w:t>adding a new site or facility to a licence.</w:t>
      </w:r>
    </w:p>
    <w:p w:rsidR="00B2102B" w:rsidRPr="003951C6" w:rsidRDefault="00B2102B" w:rsidP="001B2D99">
      <w:pPr>
        <w:pStyle w:val="Heading4"/>
      </w:pPr>
      <w:bookmarkStart w:id="24" w:name="_Toc34392594"/>
      <w:bookmarkStart w:id="25" w:name="_Toc34834167"/>
      <w:r w:rsidRPr="003951C6">
        <w:t>Fees for permit variations</w:t>
      </w:r>
      <w:bookmarkEnd w:id="24"/>
      <w:bookmarkEnd w:id="25"/>
    </w:p>
    <w:p w:rsidR="00B2102B" w:rsidRDefault="00B2102B" w:rsidP="006157AC">
      <w:r>
        <w:t>The review identified that all non-minor variations to permits require a similar amount of effort to process, meaning that the review did not identify a need to classify different levels of effort when processing any permit variation applications, while noting the reference below to minor permit modifications.</w:t>
      </w:r>
    </w:p>
    <w:p w:rsidR="00B2102B" w:rsidRDefault="00B2102B" w:rsidP="00B2102B">
      <w:r>
        <w:t>Examples of permit variations that a licence holder may apply for include, but are not limited to:</w:t>
      </w:r>
    </w:p>
    <w:p w:rsidR="00B2102B" w:rsidRPr="006157AC" w:rsidRDefault="00B2102B" w:rsidP="006157AC">
      <w:pPr>
        <w:pStyle w:val="ListBullet"/>
      </w:pPr>
      <w:r>
        <w:t>obtain new stra</w:t>
      </w:r>
      <w:r w:rsidRPr="006157AC">
        <w:t>ins of cannabis</w:t>
      </w:r>
    </w:p>
    <w:p w:rsidR="00B2102B" w:rsidRPr="006157AC" w:rsidRDefault="00B2102B" w:rsidP="006157AC">
      <w:pPr>
        <w:pStyle w:val="ListBullet"/>
      </w:pPr>
      <w:r w:rsidRPr="006157AC">
        <w:t xml:space="preserve">increase the maximum quantity of cannabis plants that may be cultivated, cannabis or cannabis resin that may be produced, and/or </w:t>
      </w:r>
    </w:p>
    <w:p w:rsidR="00B2102B" w:rsidRDefault="00B2102B" w:rsidP="006157AC">
      <w:pPr>
        <w:pStyle w:val="ListBullet"/>
      </w:pPr>
      <w:r w:rsidRPr="006157AC">
        <w:t>add new supply path</w:t>
      </w:r>
      <w:r>
        <w:t>ways.</w:t>
      </w:r>
    </w:p>
    <w:p w:rsidR="00B2102B" w:rsidRPr="006157AC" w:rsidRDefault="00B2102B" w:rsidP="006157AC">
      <w:pPr>
        <w:pStyle w:val="Heading4"/>
      </w:pPr>
      <w:bookmarkStart w:id="26" w:name="_Toc34392595"/>
      <w:bookmarkStart w:id="27" w:name="_Toc34834168"/>
      <w:r w:rsidRPr="006157AC">
        <w:t xml:space="preserve">Introduce a new fee – </w:t>
      </w:r>
      <w:r w:rsidR="006157AC" w:rsidRPr="006157AC">
        <w:t>Minor p</w:t>
      </w:r>
      <w:r w:rsidRPr="006157AC">
        <w:t>ermit modification</w:t>
      </w:r>
      <w:bookmarkEnd w:id="26"/>
      <w:bookmarkEnd w:id="27"/>
    </w:p>
    <w:p w:rsidR="00B2102B" w:rsidRDefault="00B2102B" w:rsidP="006157AC">
      <w:r>
        <w:t xml:space="preserve">The review identified that circumstances exist where a licence holder may seek to make a minor change to a permit which would not warrant a variation (i.e. change did not affect the total quantities of cannabis plants cultivated or cannabis or cannabis resin authorised under the permit). It is proposed that there is no application required however, a minor change to a permit still requires consideration by the </w:t>
      </w:r>
      <w:r w:rsidR="006157AC">
        <w:t>ODC before they can be enacted.</w:t>
      </w:r>
    </w:p>
    <w:p w:rsidR="00B2102B" w:rsidRPr="006157AC" w:rsidRDefault="00B2102B" w:rsidP="00B2102B">
      <w:r>
        <w:t xml:space="preserve">When a licence holder notifies of their intention to make a minor modification to a permit a </w:t>
      </w:r>
      <w:r>
        <w:rPr>
          <w:rFonts w:cs="Arial"/>
          <w:i/>
        </w:rPr>
        <w:t>Minor permit modification</w:t>
      </w:r>
      <w:r w:rsidRPr="001E3F12">
        <w:t xml:space="preserve"> </w:t>
      </w:r>
      <w:r>
        <w:t>fee is proposed, to recover costs associated with the administrative activities requir</w:t>
      </w:r>
      <w:r w:rsidR="006157AC">
        <w:t>ed to process the modification.</w:t>
      </w:r>
    </w:p>
    <w:p w:rsidR="00F51E1E" w:rsidRDefault="00F51E1E" w:rsidP="00B2102B"/>
    <w:p w:rsidR="00B2102B" w:rsidRDefault="00B2102B" w:rsidP="006157AC">
      <w:r>
        <w:lastRenderedPageBreak/>
        <w:t>Examples of matters that may be subject to a minor permit modification fee, rather than a permit variation include, but are not limited to:</w:t>
      </w:r>
    </w:p>
    <w:p w:rsidR="00B2102B" w:rsidRPr="006157AC" w:rsidRDefault="00B2102B" w:rsidP="006157AC">
      <w:pPr>
        <w:pStyle w:val="ListBullet"/>
      </w:pPr>
      <w:r>
        <w:t>r</w:t>
      </w:r>
      <w:r w:rsidRPr="004A75AF">
        <w:t xml:space="preserve">escheduling </w:t>
      </w:r>
      <w:r>
        <w:t>or r</w:t>
      </w:r>
      <w:r w:rsidRPr="006157AC">
        <w:t>earranging the sequencing or cultivation crops without altering the agreed maximum quantities within any crop</w:t>
      </w:r>
    </w:p>
    <w:p w:rsidR="00B2102B" w:rsidRPr="006157AC" w:rsidRDefault="00B2102B" w:rsidP="006157AC">
      <w:pPr>
        <w:pStyle w:val="ListBullet"/>
      </w:pPr>
      <w:r w:rsidRPr="006157AC">
        <w:t>updating the permit anticipated volumes of cannabis waste based on actual data, or</w:t>
      </w:r>
    </w:p>
    <w:p w:rsidR="00B2102B" w:rsidRDefault="00B2102B" w:rsidP="006157AC">
      <w:pPr>
        <w:pStyle w:val="ListBullet"/>
      </w:pPr>
      <w:r w:rsidRPr="006157AC">
        <w:t>updating anticipated quantities of cannabis produced based on the actual data, including quantity of seeds produced from cro</w:t>
      </w:r>
      <w:r>
        <w:t>ss breeding events.</w:t>
      </w:r>
    </w:p>
    <w:p w:rsidR="00B2102B" w:rsidRDefault="00B2102B" w:rsidP="006157AC">
      <w:pPr>
        <w:pStyle w:val="Heading3"/>
      </w:pPr>
      <w:bookmarkStart w:id="28" w:name="_Toc34392596"/>
      <w:bookmarkStart w:id="29" w:name="_Toc34834169"/>
      <w:r w:rsidRPr="001E3F12">
        <w:t xml:space="preserve">Amendments to </w:t>
      </w:r>
      <w:r>
        <w:t>the annual charge</w:t>
      </w:r>
      <w:bookmarkEnd w:id="28"/>
      <w:bookmarkEnd w:id="29"/>
    </w:p>
    <w:p w:rsidR="00B2102B" w:rsidRPr="001E3F12" w:rsidRDefault="00B2102B" w:rsidP="006157AC">
      <w:r>
        <w:t>The most substantial changes proposed relate to the existing annual charge. In summary, it is proposed to divide the existing annual ch</w:t>
      </w:r>
      <w:r w:rsidR="006157AC">
        <w:t>arge into two separate charges.</w:t>
      </w:r>
    </w:p>
    <w:p w:rsidR="00B2102B" w:rsidRDefault="00B2102B" w:rsidP="006157AC">
      <w:pPr>
        <w:pStyle w:val="Heading4"/>
      </w:pPr>
      <w:bookmarkStart w:id="30" w:name="_Toc34392597"/>
      <w:bookmarkStart w:id="31" w:name="_Toc34834170"/>
      <w:r w:rsidRPr="001E3F12">
        <w:t>Introduce an annual li</w:t>
      </w:r>
      <w:r>
        <w:t xml:space="preserve">cence charge and an annual site </w:t>
      </w:r>
      <w:r w:rsidRPr="001E3F12">
        <w:t>charge</w:t>
      </w:r>
      <w:bookmarkEnd w:id="30"/>
      <w:bookmarkEnd w:id="31"/>
    </w:p>
    <w:p w:rsidR="00B2102B" w:rsidRDefault="00B2102B" w:rsidP="006157AC">
      <w:r>
        <w:t xml:space="preserve">The annual charge, paid by all licence holders, is the mechanism for recovering the costs of activities (performed by the ODC) which occur after a licence has been granted. The level of activity can vary depending on whether a licence holder is still undertaking construction of facilities or is operational under a permit. Where the licence holder is not operational, the ODC has a smaller </w:t>
      </w:r>
      <w:r w:rsidR="006157AC">
        <w:t>compliance monitoring workload.</w:t>
      </w:r>
    </w:p>
    <w:p w:rsidR="00B2102B" w:rsidRDefault="00B2102B" w:rsidP="006157AC">
      <w:r>
        <w:t>In accordance with the Australian Cost Recovery Guidelines, the licence holder cannot be charged for activities not undertaken. As a result, a new structure is proposed for the annual charge that divides the costs of administering the Scheme to licence holders who are in the construction phase (called the licence charge) and licence holders who have a site once it becomes operat</w:t>
      </w:r>
      <w:r w:rsidR="006157AC">
        <w:t>ional (called the site charge).</w:t>
      </w:r>
    </w:p>
    <w:p w:rsidR="00B2102B" w:rsidRDefault="00B2102B" w:rsidP="00B2102B">
      <w:r w:rsidRPr="000F5594">
        <w:rPr>
          <w:i/>
        </w:rPr>
        <w:t>Licence charge</w:t>
      </w:r>
      <w:r>
        <w:t xml:space="preserve"> – would be incurred by all licence holders immediately after a licence is granted and each year thereafter. The charge includes the co</w:t>
      </w:r>
      <w:r w:rsidR="006157AC">
        <w:t>st of the following activities:</w:t>
      </w:r>
    </w:p>
    <w:p w:rsidR="00B2102B" w:rsidRPr="006157AC" w:rsidRDefault="00B2102B" w:rsidP="006157AC">
      <w:pPr>
        <w:pStyle w:val="ListBullet"/>
      </w:pPr>
      <w:r>
        <w:t>administrative operations o</w:t>
      </w:r>
      <w:r w:rsidRPr="006157AC">
        <w:t>f the ODC</w:t>
      </w:r>
    </w:p>
    <w:p w:rsidR="00B2102B" w:rsidRPr="006157AC" w:rsidRDefault="00B2102B" w:rsidP="006157AC">
      <w:pPr>
        <w:pStyle w:val="ListBullet"/>
      </w:pPr>
      <w:r w:rsidRPr="006157AC">
        <w:t>response to mandatory reporting by a licence holder (in accordance with the conditions of the licence, including those imposed by section 20 of the Narcotic Drugs Regulation 2016) rela</w:t>
      </w:r>
      <w:r w:rsidR="006157AC" w:rsidRPr="006157AC">
        <w:t>ting to the licence holder, and</w:t>
      </w:r>
    </w:p>
    <w:p w:rsidR="00B2102B" w:rsidRDefault="00B2102B" w:rsidP="006157AC">
      <w:pPr>
        <w:pStyle w:val="ListBullet"/>
      </w:pPr>
      <w:r w:rsidRPr="006157AC">
        <w:t>inspections that are the result of a</w:t>
      </w:r>
      <w:r>
        <w:t xml:space="preserve"> tip off.</w:t>
      </w:r>
    </w:p>
    <w:p w:rsidR="00B2102B" w:rsidRDefault="00B2102B" w:rsidP="006157AC">
      <w:r w:rsidRPr="000F5594">
        <w:rPr>
          <w:i/>
        </w:rPr>
        <w:t>Site charge</w:t>
      </w:r>
      <w:r>
        <w:t xml:space="preserve"> – would be incurred by a licence holder, once a site has been inspected and a permit has been granted under the Act, and each year thereafter. The charge includes cost of the following activities:</w:t>
      </w:r>
    </w:p>
    <w:p w:rsidR="00B2102B" w:rsidRPr="006157AC" w:rsidRDefault="00B2102B" w:rsidP="006157AC">
      <w:pPr>
        <w:pStyle w:val="ListBullet"/>
      </w:pPr>
      <w:r>
        <w:t>compliance monitor</w:t>
      </w:r>
      <w:r w:rsidRPr="006157AC">
        <w:t>ing inspection for the site or facility</w:t>
      </w:r>
    </w:p>
    <w:p w:rsidR="00B2102B" w:rsidRPr="006157AC" w:rsidRDefault="00B2102B" w:rsidP="006157AC">
      <w:pPr>
        <w:pStyle w:val="ListBullet"/>
      </w:pPr>
      <w:r w:rsidRPr="006157AC">
        <w:t>response to mandatory reporting by a licence holder (in accordance with the conditions of the licence, including those imposed by section 20 of the Narcotic Drugs Regulation 2016) of a complex nature, such as security incidents or loss or theft or cannabis</w:t>
      </w:r>
    </w:p>
    <w:p w:rsidR="00B2102B" w:rsidRPr="006157AC" w:rsidRDefault="00B2102B" w:rsidP="006157AC">
      <w:pPr>
        <w:pStyle w:val="ListBullet"/>
      </w:pPr>
      <w:r w:rsidRPr="006157AC">
        <w:t>sampling of cannabis during an inspection</w:t>
      </w:r>
    </w:p>
    <w:p w:rsidR="00B2102B" w:rsidRDefault="00B2102B" w:rsidP="006157AC">
      <w:pPr>
        <w:pStyle w:val="ListBullet"/>
      </w:pPr>
      <w:r w:rsidRPr="006157AC">
        <w:t>response to regular reports submitted by</w:t>
      </w:r>
      <w:r>
        <w:t xml:space="preserve"> licence holders on activities that have occurred, and</w:t>
      </w:r>
    </w:p>
    <w:p w:rsidR="00B2102B" w:rsidRDefault="00B2102B" w:rsidP="006157AC">
      <w:pPr>
        <w:pStyle w:val="ListBullet"/>
      </w:pPr>
      <w:r>
        <w:lastRenderedPageBreak/>
        <w:t>education and corrective action of licence holders.</w:t>
      </w:r>
    </w:p>
    <w:p w:rsidR="00B2102B" w:rsidRPr="006157AC" w:rsidRDefault="00B2102B" w:rsidP="00FB5F97">
      <w:pPr>
        <w:pStyle w:val="Heading4"/>
      </w:pPr>
      <w:bookmarkStart w:id="32" w:name="_Toc34392598"/>
      <w:bookmarkStart w:id="33" w:name="_Toc34834171"/>
      <w:r w:rsidRPr="006157AC">
        <w:t>Appendix C</w:t>
      </w:r>
      <w:r>
        <w:t xml:space="preserve"> </w:t>
      </w:r>
      <w:r w:rsidRPr="00E30E2F">
        <w:t>provides the price of the proposed</w:t>
      </w:r>
      <w:r>
        <w:t xml:space="preserve"> annual licence and site charges</w:t>
      </w:r>
      <w:r w:rsidRPr="006157AC">
        <w:t>.</w:t>
      </w:r>
      <w:bookmarkEnd w:id="32"/>
      <w:bookmarkEnd w:id="33"/>
    </w:p>
    <w:p w:rsidR="00B2102B" w:rsidRPr="006157AC" w:rsidRDefault="00B2102B" w:rsidP="006157AC">
      <w:pPr>
        <w:rPr>
          <w:i/>
        </w:rPr>
      </w:pPr>
      <w:bookmarkStart w:id="34" w:name="_Toc34392599"/>
      <w:r w:rsidRPr="006157AC">
        <w:rPr>
          <w:i/>
        </w:rPr>
        <w:t>Note on licence holders with multiple sites</w:t>
      </w:r>
      <w:bookmarkEnd w:id="34"/>
    </w:p>
    <w:p w:rsidR="00B2102B" w:rsidRPr="00E31F0F" w:rsidRDefault="00B2102B" w:rsidP="00B2102B">
      <w:r>
        <w:t>It is proposed that a single site charge is applied to a licence holder even in circumstances where a licence holder has multiple sites authorised under their licence, since some efficiencies may be gained with such a licence holder. However, it is also proposed that, where required, additional compliance activities for a licence holder with multiple sites may fall under a separate amount payab</w:t>
      </w:r>
      <w:r w:rsidR="006157AC">
        <w:t>le for ‘follow-up’ activities.</w:t>
      </w:r>
    </w:p>
    <w:p w:rsidR="00B2102B" w:rsidRDefault="00B2102B" w:rsidP="00FB5F97">
      <w:pPr>
        <w:pStyle w:val="Heading3"/>
      </w:pPr>
      <w:bookmarkStart w:id="35" w:name="_Toc34392600"/>
      <w:bookmarkStart w:id="36" w:name="_Toc34834172"/>
      <w:r>
        <w:t>Introduce new charges</w:t>
      </w:r>
      <w:bookmarkEnd w:id="35"/>
      <w:bookmarkEnd w:id="36"/>
    </w:p>
    <w:p w:rsidR="00B2102B" w:rsidRDefault="00B2102B" w:rsidP="00B2102B">
      <w:r w:rsidRPr="00CF68B2">
        <w:t>The review identified that developing a charging structure that reflects the compliance history of a licence holder would provide a more equitable approach as it places the extra costs o</w:t>
      </w:r>
      <w:r>
        <w:t>n</w:t>
      </w:r>
      <w:r w:rsidRPr="00CF68B2">
        <w:t xml:space="preserve"> licensees requiring a higher level of monitoring, and provide</w:t>
      </w:r>
      <w:r>
        <w:t>s</w:t>
      </w:r>
      <w:r w:rsidRPr="00CF68B2">
        <w:t xml:space="preserve"> an incentive to encourage compliance.</w:t>
      </w:r>
      <w:r>
        <w:t xml:space="preserve"> As a result, three new categories of charges are proposed to avoid cross-subsidisation, where compliant licence holders contribute to payment of the costs of non-compliant licence holders. </w:t>
      </w:r>
    </w:p>
    <w:p w:rsidR="00B2102B" w:rsidRDefault="00B2102B" w:rsidP="00B2102B">
      <w:r>
        <w:t xml:space="preserve">All charges would be applied on an hourly basis, ensuring the cost of such activities will be commensurate to the severity of the non-compliance and the responsiveness of the licence holder in each scenario. </w:t>
      </w:r>
    </w:p>
    <w:p w:rsidR="00B2102B" w:rsidRDefault="00B2102B" w:rsidP="00B2102B">
      <w:r w:rsidRPr="00613D86">
        <w:t xml:space="preserve">The intention </w:t>
      </w:r>
      <w:r>
        <w:t>for all new charges proposed below is the same</w:t>
      </w:r>
      <w:r w:rsidRPr="00613D86">
        <w:t>, to directly recover the costs of addressing non-compliance with those responsible for the non-compliance. The proposed triggers for each charge are different and are described below.</w:t>
      </w:r>
    </w:p>
    <w:p w:rsidR="00B2102B" w:rsidRDefault="00F52074" w:rsidP="00B2102B">
      <w:hyperlink w:anchor="_Appendix_C:_Proposed" w:history="1">
        <w:r w:rsidR="00B2102B" w:rsidRPr="006157AC">
          <w:rPr>
            <w:rStyle w:val="Hyperlink"/>
            <w:rFonts w:cs="Arial"/>
            <w:b/>
            <w:i/>
          </w:rPr>
          <w:t>Appendix C</w:t>
        </w:r>
      </w:hyperlink>
      <w:r w:rsidR="00B2102B">
        <w:t xml:space="preserve"> provides an indicative example of the potential costs of the proposed charges such activities could incur.</w:t>
      </w:r>
    </w:p>
    <w:p w:rsidR="00B2102B" w:rsidRPr="009F22E7" w:rsidRDefault="00B2102B" w:rsidP="00FB5F97">
      <w:pPr>
        <w:pStyle w:val="Heading4"/>
      </w:pPr>
      <w:bookmarkStart w:id="37" w:name="_Toc34392601"/>
      <w:bookmarkStart w:id="38" w:name="_Toc34834173"/>
      <w:r w:rsidRPr="009F22E7">
        <w:t>Introduce new charges for follow up activities</w:t>
      </w:r>
      <w:bookmarkEnd w:id="37"/>
      <w:bookmarkEnd w:id="38"/>
    </w:p>
    <w:p w:rsidR="00B2102B" w:rsidRDefault="00B2102B" w:rsidP="006157AC">
      <w:r>
        <w:t>S</w:t>
      </w:r>
      <w:r w:rsidRPr="00241B07">
        <w:t xml:space="preserve">ome licence holders </w:t>
      </w:r>
      <w:r>
        <w:t xml:space="preserve">may, as a result of ongoing compliance and other circumstances, </w:t>
      </w:r>
      <w:r w:rsidRPr="00241B07">
        <w:t>require multiple compliance monitoring inspections while other</w:t>
      </w:r>
      <w:r>
        <w:t>s</w:t>
      </w:r>
      <w:r w:rsidRPr="00241B07">
        <w:t xml:space="preserve"> require a smaller number of inspections. </w:t>
      </w:r>
      <w:r>
        <w:t>The current</w:t>
      </w:r>
      <w:r w:rsidRPr="00241B07">
        <w:t xml:space="preserve"> annual </w:t>
      </w:r>
      <w:r>
        <w:t xml:space="preserve">charge </w:t>
      </w:r>
      <w:r w:rsidRPr="00241B07">
        <w:t xml:space="preserve">only accounts for three compliance-monitoring inspections per licence holder. </w:t>
      </w:r>
    </w:p>
    <w:p w:rsidR="00B2102B" w:rsidRDefault="00B2102B" w:rsidP="00B2102B">
      <w:r>
        <w:t>Charges are proposed to be applied to the following activities:</w:t>
      </w:r>
    </w:p>
    <w:p w:rsidR="00B2102B" w:rsidRPr="006157AC" w:rsidRDefault="00B2102B" w:rsidP="006157AC">
      <w:pPr>
        <w:pStyle w:val="ListBullet"/>
      </w:pPr>
      <w:r>
        <w:t>f</w:t>
      </w:r>
      <w:r w:rsidRPr="000D55CB">
        <w:t>ollow up audit charge</w:t>
      </w:r>
      <w:r>
        <w:t xml:space="preserve"> –the cost of a desk top</w:t>
      </w:r>
      <w:r w:rsidRPr="006157AC">
        <w:t xml:space="preserve"> audit that may be triggered if an anomaly in record keeping is identified or the regularly reporting required of a licence holder</w:t>
      </w:r>
    </w:p>
    <w:p w:rsidR="00B2102B" w:rsidRPr="006157AC" w:rsidRDefault="00B2102B" w:rsidP="006157AC">
      <w:pPr>
        <w:pStyle w:val="ListBullet"/>
      </w:pPr>
      <w:r w:rsidRPr="006157AC">
        <w:t>follow up inspection charge –the cost of an inspection that may be triggered in the circumstances described above or history of non-compliance, and</w:t>
      </w:r>
    </w:p>
    <w:p w:rsidR="00B2102B" w:rsidRPr="006157AC" w:rsidRDefault="00B2102B" w:rsidP="006157AC">
      <w:pPr>
        <w:pStyle w:val="ListBullet"/>
      </w:pPr>
      <w:r w:rsidRPr="006157AC">
        <w:t>follow up sampling assessment charge –the cost of the assessment of the results of the analysis of a cannabis sample from a follow up inspection.</w:t>
      </w:r>
    </w:p>
    <w:p w:rsidR="00B2102B" w:rsidRDefault="00B2102B" w:rsidP="006157AC">
      <w:pPr>
        <w:pStyle w:val="Heading4"/>
      </w:pPr>
      <w:bookmarkStart w:id="39" w:name="_Toc34392602"/>
      <w:bookmarkStart w:id="40" w:name="_Toc34834174"/>
      <w:r>
        <w:t>Introduce new charges for investigation activities</w:t>
      </w:r>
      <w:bookmarkEnd w:id="39"/>
      <w:bookmarkEnd w:id="40"/>
    </w:p>
    <w:p w:rsidR="00B2102B" w:rsidRDefault="00B2102B" w:rsidP="006157AC">
      <w:r>
        <w:t xml:space="preserve">An investigation can be undertaken by an authorised person with the ODC in response to a breach of the Act that constitutes an offence or is subject to a civil penalty (refer to section 13M of the Act and Part 3 of the </w:t>
      </w:r>
      <w:r w:rsidRPr="003D677F">
        <w:rPr>
          <w:i/>
        </w:rPr>
        <w:t>Regulatory Powers (Standard Provisions) Act 2014)</w:t>
      </w:r>
      <w:r w:rsidR="006157AC">
        <w:t>.</w:t>
      </w:r>
    </w:p>
    <w:p w:rsidR="00B2102B" w:rsidRDefault="00B2102B" w:rsidP="006157AC">
      <w:r>
        <w:lastRenderedPageBreak/>
        <w:t>To date, costs for investigations have been recovered through the annual charge however it is more appropriate to recover these costs directly from the licence holder that is subject to the investigation. An investigation could be entirely undertaken from the ODC’s office (e.g., desktop audit), or may require an inspection or sampling to be undertaken. Therefore, charges are proposed for the following activities:</w:t>
      </w:r>
    </w:p>
    <w:p w:rsidR="00B2102B" w:rsidRPr="006157AC" w:rsidRDefault="00B2102B" w:rsidP="006157AC">
      <w:pPr>
        <w:pStyle w:val="ListBullet"/>
      </w:pPr>
      <w:r>
        <w:t>investigation ch</w:t>
      </w:r>
      <w:r w:rsidRPr="006157AC">
        <w:t>arge – the costs of undertaking the investigations that are undertaken from the ODC’s office</w:t>
      </w:r>
    </w:p>
    <w:p w:rsidR="00B2102B" w:rsidRPr="006157AC" w:rsidRDefault="00B2102B" w:rsidP="006157AC">
      <w:pPr>
        <w:pStyle w:val="ListBullet"/>
      </w:pPr>
      <w:r w:rsidRPr="006157AC">
        <w:t>investigation inspection charge – the costs associated with undertaking an inspection where investigation powers ar</w:t>
      </w:r>
      <w:r w:rsidR="006157AC">
        <w:t>e used, and</w:t>
      </w:r>
    </w:p>
    <w:p w:rsidR="00B2102B" w:rsidRPr="003D677F" w:rsidRDefault="00B2102B" w:rsidP="006157AC">
      <w:pPr>
        <w:pStyle w:val="ListBullet"/>
      </w:pPr>
      <w:r w:rsidRPr="006157AC">
        <w:t>investigation sampling assessment charge – the cost of assessing the results of the analysis of a cannabis sample from an invest</w:t>
      </w:r>
      <w:r>
        <w:t>igation inspection.</w:t>
      </w:r>
    </w:p>
    <w:p w:rsidR="00B2102B" w:rsidRPr="009F22E7" w:rsidRDefault="00B2102B" w:rsidP="006157AC">
      <w:pPr>
        <w:pStyle w:val="Heading4"/>
      </w:pPr>
      <w:bookmarkStart w:id="41" w:name="_Toc34392603"/>
      <w:bookmarkStart w:id="42" w:name="_Toc34834175"/>
      <w:r w:rsidRPr="009F22E7">
        <w:t xml:space="preserve">Introduce new charges </w:t>
      </w:r>
      <w:r>
        <w:t>for enforcement activities</w:t>
      </w:r>
      <w:bookmarkEnd w:id="41"/>
      <w:bookmarkEnd w:id="42"/>
    </w:p>
    <w:p w:rsidR="00B2102B" w:rsidRDefault="00B2102B" w:rsidP="00B2102B">
      <w:r>
        <w:t xml:space="preserve">An investigation may find that enforcement action is required </w:t>
      </w:r>
      <w:r w:rsidR="006157AC">
        <w:t>to address a breach of the Act.</w:t>
      </w:r>
    </w:p>
    <w:p w:rsidR="00B2102B" w:rsidRDefault="00B2102B" w:rsidP="006157AC">
      <w:r>
        <w:t>Enforcement charges are proposed to recover the cost of undertaking such enforcement action, with the costs to be recovered directly from the licence holder that is subject to the enforcement action. It is proposed that these costs would be in addition to any financial penalties that may be the result of enforcement action, such as a penalty payable pursuant to an infringement notice. Enforcement action charges are proposed for the following activities, which are indicative of the severity of the enforcement action.</w:t>
      </w:r>
    </w:p>
    <w:p w:rsidR="00B2102B" w:rsidRPr="006157AC" w:rsidRDefault="00B2102B" w:rsidP="006157AC">
      <w:pPr>
        <w:pStyle w:val="ListBullet"/>
      </w:pPr>
      <w:r>
        <w:t>enforcement action: minor – this may relate to the cost of issuing an infringement notice or direction to a licen</w:t>
      </w:r>
      <w:r w:rsidRPr="006157AC">
        <w:t>ce holder. It is the cost to the ODC of preparing to take this action. The cost to the licence holder of the amount payable pursuant to any infringement notice issued would be in addition to this charge</w:t>
      </w:r>
    </w:p>
    <w:p w:rsidR="00B2102B" w:rsidRPr="006157AC" w:rsidRDefault="00B2102B" w:rsidP="006157AC">
      <w:pPr>
        <w:pStyle w:val="ListBullet"/>
      </w:pPr>
      <w:r w:rsidRPr="006157AC">
        <w:t>enforcement action: moderate – this may relate to the cost to the ODC of preparing an enforceable undertaking or suspending a licence, and</w:t>
      </w:r>
    </w:p>
    <w:p w:rsidR="00B2102B" w:rsidRDefault="00B2102B" w:rsidP="006157AC">
      <w:pPr>
        <w:pStyle w:val="ListBullet"/>
      </w:pPr>
      <w:r w:rsidRPr="006157AC">
        <w:t xml:space="preserve">enforcement Action: major – this may relate to </w:t>
      </w:r>
      <w:r>
        <w:t>the cost to the ODC of preparing to issue an injunction or revoking a licence.</w:t>
      </w:r>
    </w:p>
    <w:p w:rsidR="00B2102B" w:rsidRDefault="00B2102B" w:rsidP="006157AC">
      <w:pPr>
        <w:pStyle w:val="Heading3"/>
      </w:pPr>
      <w:bookmarkStart w:id="43" w:name="_Toc34392604"/>
      <w:bookmarkStart w:id="44" w:name="_Toc34834176"/>
      <w:r>
        <w:t>Indexation of fees and charges</w:t>
      </w:r>
      <w:bookmarkEnd w:id="43"/>
      <w:bookmarkEnd w:id="44"/>
    </w:p>
    <w:p w:rsidR="00FB5F97" w:rsidRDefault="00B2102B" w:rsidP="006157AC">
      <w:r>
        <w:t>An annual indexation adjustment is recommended as part of the cost recovery framework. This will also ensure fees and charges are consistent with Government policy. The indexation model proposed is based on the approach taken by TGA, which has an indexation factor combining the wage price index (WPI) and the consumer price index (CPI) on a 50:50 basis.</w:t>
      </w:r>
    </w:p>
    <w:p w:rsidR="00FB5F97" w:rsidRPr="00663539" w:rsidRDefault="00FB5F97" w:rsidP="006157AC">
      <w:pPr>
        <w:pStyle w:val="Heading2"/>
        <w:rPr>
          <w:rFonts w:eastAsiaTheme="minorHAnsi"/>
        </w:rPr>
      </w:pPr>
      <w:bookmarkStart w:id="45" w:name="_Toc34392605"/>
      <w:bookmarkStart w:id="46" w:name="_Toc34834177"/>
      <w:r w:rsidRPr="00663539">
        <w:rPr>
          <w:rFonts w:eastAsiaTheme="minorHAnsi"/>
        </w:rPr>
        <w:t>Specific consideration of research licences</w:t>
      </w:r>
      <w:bookmarkEnd w:id="45"/>
      <w:bookmarkEnd w:id="46"/>
    </w:p>
    <w:p w:rsidR="00FB5F97" w:rsidRDefault="00FB5F97" w:rsidP="006157AC">
      <w:r>
        <w:t>The review into the Cost Recovery Framework did not identify any specific matters relating to research licences, however strong feedback was raised during the stakeholder sessions regarding the impact that fees and charges have on research, specifically research undertaken by non-commercial research bodies.</w:t>
      </w:r>
    </w:p>
    <w:p w:rsidR="00FB5F97" w:rsidRDefault="00FB5F97" w:rsidP="006157AC">
      <w:r>
        <w:t>The Australian medicinal cannabis sector highly values research into medicinal cannabis and medicinal cannabis products, and the sector is of the view that the fees and charges for research licences should be sufficiently low to encourage and facilitate more research.</w:t>
      </w:r>
    </w:p>
    <w:p w:rsidR="00FB5F97" w:rsidRDefault="00FB5F97" w:rsidP="006157AC">
      <w:r>
        <w:lastRenderedPageBreak/>
        <w:t>The current Cost Recovery Framework already provides for partial cost recovery regarding non-commercial research; however, it is proposed to review the risks associated with medicinal cannabis research licences and then undertake an activity based cost activity wit</w:t>
      </w:r>
      <w:r w:rsidR="006157AC">
        <w:t>h consideration of these risks.</w:t>
      </w:r>
    </w:p>
    <w:p w:rsidR="00FB5F97" w:rsidRDefault="00FB5F97" w:rsidP="006157AC">
      <w:r>
        <w:t>The assessment of the risks will have an impact on the work effort involved in assessing and monitoring research licences and permits and a consultation paper on medicinal cannabis research licences in the 2020-21 financial year, with the view to seek Government approval to implement any resulting changes soon thereafter.</w:t>
      </w:r>
    </w:p>
    <w:p w:rsidR="00FB5F97" w:rsidRPr="00FB5F97" w:rsidRDefault="001B2D99" w:rsidP="006157AC">
      <w:pPr>
        <w:pStyle w:val="Heading2"/>
        <w:rPr>
          <w:rFonts w:eastAsiaTheme="minorHAnsi"/>
        </w:rPr>
      </w:pPr>
      <w:bookmarkStart w:id="47" w:name="_Toc34392606"/>
      <w:bookmarkStart w:id="48" w:name="_Toc34834178"/>
      <w:r>
        <w:rPr>
          <w:rFonts w:eastAsiaTheme="minorHAnsi"/>
        </w:rPr>
        <w:t>Transition arrangements for the s</w:t>
      </w:r>
      <w:r w:rsidR="00FB5F97" w:rsidRPr="00FB5F97">
        <w:rPr>
          <w:rFonts w:eastAsiaTheme="minorHAnsi"/>
        </w:rPr>
        <w:t>ingle licence model</w:t>
      </w:r>
      <w:bookmarkEnd w:id="47"/>
      <w:bookmarkEnd w:id="48"/>
    </w:p>
    <w:p w:rsidR="00FB5F97" w:rsidRDefault="00FB5F97" w:rsidP="006157AC">
      <w:r>
        <w:t>The 2019 Independent Review made 26 recommendations, with recommendation 7 being that a single licence model should be implemented under the Act. Although this paper concerns the Act in force at this time, you are invited to provide initial input on fees concerning transitional arrangements for a proposed single licence model.</w:t>
      </w:r>
    </w:p>
    <w:p w:rsidR="00FB5F97" w:rsidRDefault="00FB5F97" w:rsidP="006157AC">
      <w:r>
        <w:t>In developing the transitional arrangements, one option under consideration is to legislatively deem an existing licence, or multiple licences held by the one entity, to constitute a single licence for the purposes of the Act. The single licence would take effect on the commencement day for the new legislative arrangements.</w:t>
      </w:r>
    </w:p>
    <w:p w:rsidR="00FB5F97" w:rsidRDefault="00FB5F97" w:rsidP="006157AC">
      <w:r>
        <w:t>Under this model, it is proposed that existing licence holders would not need to formally apply for a new single licence.</w:t>
      </w:r>
    </w:p>
    <w:p w:rsidR="00FB5F97" w:rsidRDefault="00FB5F97" w:rsidP="006157AC">
      <w:r>
        <w:t>Feedback is sought from existing licence holders on:</w:t>
      </w:r>
    </w:p>
    <w:p w:rsidR="00FB5F97" w:rsidRPr="006157AC" w:rsidRDefault="00FB5F97" w:rsidP="006157AC">
      <w:pPr>
        <w:pStyle w:val="ListBullet"/>
      </w:pPr>
      <w:r>
        <w:t>their interest in having their licence documentation reviewed and if necessary reformatted in accordance with any new format or stru</w:t>
      </w:r>
      <w:r w:rsidRPr="006157AC">
        <w:t>cture reflective of the new single licence arrangements, following the commencement of the new legislative arrangements, and</w:t>
      </w:r>
    </w:p>
    <w:p w:rsidR="00FB5F97" w:rsidRDefault="00FB5F97" w:rsidP="006157AC">
      <w:pPr>
        <w:pStyle w:val="ListBullet"/>
      </w:pPr>
      <w:r w:rsidRPr="006157AC">
        <w:t>paying a one-off administrative fee for review and reformat for a single licence that would be set in recognition that the level of work relates to existin</w:t>
      </w:r>
      <w:r>
        <w:t xml:space="preserve">g licence holders and so would be less than the cost of the ODC assessing a </w:t>
      </w:r>
      <w:r w:rsidR="006157AC">
        <w:t>new single licence application.</w:t>
      </w:r>
    </w:p>
    <w:p w:rsidR="00FB5F97" w:rsidRPr="00FB5F97" w:rsidRDefault="00FB5F97" w:rsidP="006157AC">
      <w:pPr>
        <w:pStyle w:val="Heading2"/>
        <w:rPr>
          <w:rFonts w:eastAsiaTheme="minorHAnsi"/>
        </w:rPr>
      </w:pPr>
      <w:bookmarkStart w:id="49" w:name="_Toc34392607"/>
      <w:bookmarkStart w:id="50" w:name="_Toc34834179"/>
      <w:r w:rsidRPr="00FB5F97">
        <w:rPr>
          <w:rFonts w:eastAsiaTheme="minorHAnsi"/>
        </w:rPr>
        <w:t>N</w:t>
      </w:r>
      <w:r w:rsidR="001B2D99">
        <w:rPr>
          <w:rFonts w:eastAsiaTheme="minorHAnsi"/>
        </w:rPr>
        <w:t>ext s</w:t>
      </w:r>
      <w:r w:rsidRPr="00FB5F97">
        <w:rPr>
          <w:rFonts w:eastAsiaTheme="minorHAnsi"/>
        </w:rPr>
        <w:t>teps</w:t>
      </w:r>
      <w:bookmarkEnd w:id="49"/>
      <w:bookmarkEnd w:id="50"/>
    </w:p>
    <w:p w:rsidR="00FB5F97" w:rsidRDefault="00FB5F97" w:rsidP="006157AC">
      <w:r>
        <w:t xml:space="preserve">Government will determine whether the changes proposed in this paper are implemented and the date of commencement, possibly 1 July 2020. Following provision of consultation feedback to Government and subject to Government approval, amendments would be made to the to the legislative instruments that relate to Cost Recovery Framework, specifically the </w:t>
      </w:r>
      <w:r w:rsidRPr="00734FF3">
        <w:rPr>
          <w:i/>
        </w:rPr>
        <w:t>Narcotic Drugs Regulation 2016</w:t>
      </w:r>
      <w:r>
        <w:t xml:space="preserve"> and the </w:t>
      </w:r>
      <w:r w:rsidRPr="00734FF3">
        <w:rPr>
          <w:i/>
        </w:rPr>
        <w:t>Narcotic Drugs (Licence Charges) Regulation 2016</w:t>
      </w:r>
      <w:r>
        <w:t>.</w:t>
      </w:r>
    </w:p>
    <w:p w:rsidR="00FB5F97" w:rsidRPr="002924AC" w:rsidRDefault="00FB5F97" w:rsidP="00FB5F97">
      <w:r>
        <w:t>There would also be the requirement to publish the Medicinal Cannabis Cost Recovery Implementation Statement (CRIS). Prior to publication of the CRIS, a draft version of the document will be circulated for public comment.</w:t>
      </w:r>
    </w:p>
    <w:p w:rsidR="00FB5F97" w:rsidRDefault="00FB5F97" w:rsidP="00FB5F97">
      <w:pPr>
        <w:rPr>
          <w:rFonts w:cs="Arial"/>
          <w:color w:val="00517D" w:themeColor="accent1" w:themeShade="BF"/>
          <w:sz w:val="32"/>
        </w:rPr>
        <w:sectPr w:rsidR="00FB5F97" w:rsidSect="00FB5F97">
          <w:footerReference w:type="default" r:id="rId18"/>
          <w:pgSz w:w="11906" w:h="16838"/>
          <w:pgMar w:top="1134" w:right="1134" w:bottom="1134" w:left="1134" w:header="708" w:footer="708" w:gutter="0"/>
          <w:cols w:space="708"/>
          <w:docGrid w:linePitch="360"/>
        </w:sectPr>
      </w:pPr>
    </w:p>
    <w:p w:rsidR="00FB5F97" w:rsidRDefault="00FB5F97" w:rsidP="00FB5F97">
      <w:pPr>
        <w:pStyle w:val="Heading2"/>
      </w:pPr>
      <w:bookmarkStart w:id="51" w:name="_Appendix_A:_Diagram"/>
      <w:bookmarkStart w:id="52" w:name="_Toc34392608"/>
      <w:bookmarkStart w:id="53" w:name="_Toc34834180"/>
      <w:bookmarkEnd w:id="51"/>
      <w:r w:rsidRPr="002C4DC0">
        <w:lastRenderedPageBreak/>
        <w:t xml:space="preserve">Appendix </w:t>
      </w:r>
      <w:r>
        <w:t>A: Diagram of current and proposed fees and charges</w:t>
      </w:r>
      <w:bookmarkEnd w:id="52"/>
      <w:bookmarkEnd w:id="53"/>
    </w:p>
    <w:p w:rsidR="003D6816" w:rsidRPr="003D6816" w:rsidRDefault="003D6816" w:rsidP="003D6816">
      <w:r>
        <w:rPr>
          <w:noProof/>
          <w:lang w:eastAsia="en-AU"/>
        </w:rPr>
        <w:drawing>
          <wp:inline distT="0" distB="0" distL="0" distR="0">
            <wp:extent cx="9251950" cy="52832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dustry consultation paper - Medicinal cannabis cost recovery framework.jpg"/>
                    <pic:cNvPicPr/>
                  </pic:nvPicPr>
                  <pic:blipFill>
                    <a:blip r:embed="rId19">
                      <a:extLst>
                        <a:ext uri="{28A0092B-C50C-407E-A947-70E740481C1C}">
                          <a14:useLocalDpi xmlns:a14="http://schemas.microsoft.com/office/drawing/2010/main" val="0"/>
                        </a:ext>
                      </a:extLst>
                    </a:blip>
                    <a:stretch>
                      <a:fillRect/>
                    </a:stretch>
                  </pic:blipFill>
                  <pic:spPr>
                    <a:xfrm>
                      <a:off x="0" y="0"/>
                      <a:ext cx="9251950" cy="5283200"/>
                    </a:xfrm>
                    <a:prstGeom prst="rect">
                      <a:avLst/>
                    </a:prstGeom>
                  </pic:spPr>
                </pic:pic>
              </a:graphicData>
            </a:graphic>
          </wp:inline>
        </w:drawing>
      </w:r>
    </w:p>
    <w:p w:rsidR="00FB5F97" w:rsidRDefault="00244D86" w:rsidP="00FB5F97">
      <w:pPr>
        <w:sectPr w:rsidR="00FB5F97" w:rsidSect="00FB5F97">
          <w:headerReference w:type="default" r:id="rId20"/>
          <w:footerReference w:type="default" r:id="rId21"/>
          <w:pgSz w:w="16838" w:h="11906" w:orient="landscape"/>
          <w:pgMar w:top="1134" w:right="1134" w:bottom="1134" w:left="1134" w:header="708" w:footer="708" w:gutter="0"/>
          <w:cols w:space="708"/>
          <w:docGrid w:linePitch="360"/>
        </w:sectPr>
      </w:pPr>
      <w:r>
        <w:rPr>
          <w:noProof/>
          <w:lang w:eastAsia="en-AU"/>
        </w:rPr>
        <mc:AlternateContent>
          <mc:Choice Requires="wps">
            <w:drawing>
              <wp:anchor distT="0" distB="0" distL="114300" distR="114300" simplePos="0" relativeHeight="251586560" behindDoc="0" locked="0" layoutInCell="1" allowOverlap="1" wp14:anchorId="0061D123" wp14:editId="43A0EA6E">
                <wp:simplePos x="0" y="0"/>
                <wp:positionH relativeFrom="column">
                  <wp:posOffset>0</wp:posOffset>
                </wp:positionH>
                <wp:positionV relativeFrom="paragraph">
                  <wp:posOffset>1104900</wp:posOffset>
                </wp:positionV>
                <wp:extent cx="2015490" cy="460375"/>
                <wp:effectExtent l="0" t="0" r="3810" b="0"/>
                <wp:wrapNone/>
                <wp:docPr id="14" name="Rectangle 13"/>
                <wp:cNvGraphicFramePr/>
                <a:graphic xmlns:a="http://schemas.openxmlformats.org/drawingml/2006/main">
                  <a:graphicData uri="http://schemas.microsoft.com/office/word/2010/wordprocessingShape">
                    <wps:wsp>
                      <wps:cNvSpPr/>
                      <wps:spPr>
                        <a:xfrm>
                          <a:off x="0" y="0"/>
                          <a:ext cx="2015490" cy="460375"/>
                        </a:xfrm>
                        <a:prstGeom prst="rect">
                          <a:avLst/>
                        </a:prstGeom>
                        <a:solidFill>
                          <a:schemeClr val="bg1">
                            <a:lumMod val="65000"/>
                          </a:schemeClr>
                        </a:solidFill>
                        <a:ln w="9525">
                          <a:no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1B2D99" w:rsidRPr="006157AC" w:rsidRDefault="001B2D99" w:rsidP="00FB5F97">
                            <w:pPr>
                              <w:pStyle w:val="NormalWeb"/>
                              <w:spacing w:before="0" w:beforeAutospacing="0" w:after="0" w:afterAutospacing="0"/>
                              <w:jc w:val="center"/>
                              <w:rPr>
                                <w:color w:val="002C47" w:themeColor="text1"/>
                              </w:rPr>
                            </w:pPr>
                            <w:r>
                              <w:rPr>
                                <w:rFonts w:asciiTheme="minorHAnsi" w:hAnsi="Calibri" w:cstheme="minorBidi"/>
                                <w:color w:val="002C47" w:themeColor="text1"/>
                                <w:kern w:val="24"/>
                              </w:rPr>
                              <w:t>Discount Lic</w:t>
                            </w:r>
                            <w:r w:rsidRPr="006157AC">
                              <w:rPr>
                                <w:rFonts w:asciiTheme="minorHAnsi" w:hAnsi="Calibri" w:cstheme="minorBidi"/>
                                <w:color w:val="002C47" w:themeColor="text1"/>
                                <w:kern w:val="24"/>
                              </w:rPr>
                              <w:t>ence Appli</w:t>
                            </w:r>
                            <w:r>
                              <w:rPr>
                                <w:rFonts w:asciiTheme="minorHAnsi" w:hAnsi="Calibri" w:cstheme="minorBidi"/>
                                <w:color w:val="002C47" w:themeColor="text1"/>
                                <w:kern w:val="24"/>
                              </w:rPr>
                              <w:t>cation Fee</w:t>
                            </w:r>
                          </w:p>
                        </w:txbxContent>
                      </wps:txbx>
                      <wps:bodyPr rtlCol="0" anchor="ctr"/>
                    </wps:wsp>
                  </a:graphicData>
                </a:graphic>
              </wp:anchor>
            </w:drawing>
          </mc:Choice>
          <mc:Fallback>
            <w:pict>
              <v:rect w14:anchorId="0061D123" id="Rectangle 13" o:spid="_x0000_s1026" style="position:absolute;margin-left:0;margin-top:87pt;width:158.7pt;height:36.25pt;z-index:251586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" fillcolor="#a5a5a5 [2092]" stroked="f">
                <v:stroke dashstyle="dash"/>
                <v:textbox>
                  <w:txbxContent>
                    <w:p w:rsidR="001B2D99" w:rsidRPr="006157AC" w:rsidRDefault="001B2D99" w:rsidP="00FB5F97">
                      <w:pPr>
                        <w:pStyle w:val="NormalWeb"/>
                        <w:spacing w:before="0" w:beforeAutospacing="0" w:after="0" w:afterAutospacing="0"/>
                        <w:jc w:val="center"/>
                        <w:rPr>
                          <w:color w:val="002C47" w:themeColor="text1"/>
                        </w:rPr>
                      </w:pPr>
                      <w:r>
                        <w:rPr>
                          <w:rFonts w:asciiTheme="minorHAnsi" w:hAnsi="Calibri" w:cstheme="minorBidi"/>
                          <w:color w:val="002C47" w:themeColor="text1"/>
                          <w:kern w:val="24"/>
                        </w:rPr>
                        <w:t>Discount Lic</w:t>
                      </w:r>
                      <w:r w:rsidRPr="006157AC">
                        <w:rPr>
                          <w:rFonts w:asciiTheme="minorHAnsi" w:hAnsi="Calibri" w:cstheme="minorBidi"/>
                          <w:color w:val="002C47" w:themeColor="text1"/>
                          <w:kern w:val="24"/>
                        </w:rPr>
                        <w:t>ence Appli</w:t>
                      </w:r>
                      <w:r>
                        <w:rPr>
                          <w:rFonts w:asciiTheme="minorHAnsi" w:hAnsi="Calibri" w:cstheme="minorBidi"/>
                          <w:color w:val="002C47" w:themeColor="text1"/>
                          <w:kern w:val="24"/>
                        </w:rPr>
                        <w:t>cation Fee</w:t>
                      </w:r>
                    </w:p>
                  </w:txbxContent>
                </v:textbox>
              </v:rect>
            </w:pict>
          </mc:Fallback>
        </mc:AlternateContent>
      </w:r>
      <w:r>
        <w:rPr>
          <w:noProof/>
          <w:lang w:eastAsia="en-AU"/>
        </w:rPr>
        <mc:AlternateContent>
          <mc:Choice Requires="wps">
            <w:drawing>
              <wp:anchor distT="0" distB="0" distL="114300" distR="114300" simplePos="0" relativeHeight="251592704" behindDoc="0" locked="0" layoutInCell="1" allowOverlap="1" wp14:anchorId="2301A510" wp14:editId="11262B8F">
                <wp:simplePos x="0" y="0"/>
                <wp:positionH relativeFrom="column">
                  <wp:posOffset>7620</wp:posOffset>
                </wp:positionH>
                <wp:positionV relativeFrom="paragraph">
                  <wp:posOffset>1647825</wp:posOffset>
                </wp:positionV>
                <wp:extent cx="2015490" cy="460375"/>
                <wp:effectExtent l="0" t="0" r="22860" b="15875"/>
                <wp:wrapNone/>
                <wp:docPr id="20" name="Rectangle 19"/>
                <wp:cNvGraphicFramePr/>
                <a:graphic xmlns:a="http://schemas.openxmlformats.org/drawingml/2006/main">
                  <a:graphicData uri="http://schemas.microsoft.com/office/word/2010/wordprocessingShape">
                    <wps:wsp>
                      <wps:cNvSpPr/>
                      <wps:spPr>
                        <a:xfrm>
                          <a:off x="0" y="0"/>
                          <a:ext cx="2015490" cy="460375"/>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B2D99" w:rsidRPr="006157AC" w:rsidRDefault="001B2D99" w:rsidP="00FB5F97">
                            <w:pPr>
                              <w:pStyle w:val="NormalWeb"/>
                              <w:spacing w:before="0" w:beforeAutospacing="0" w:after="0" w:afterAutospacing="0"/>
                              <w:jc w:val="center"/>
                              <w:rPr>
                                <w:color w:val="002C47" w:themeColor="text1"/>
                              </w:rPr>
                            </w:pPr>
                            <w:r>
                              <w:rPr>
                                <w:rFonts w:asciiTheme="minorHAnsi" w:hAnsi="Calibri" w:cstheme="minorBidi"/>
                                <w:color w:val="002C47" w:themeColor="text1"/>
                                <w:kern w:val="24"/>
                              </w:rPr>
                              <w:t>Licence Variation Fee</w:t>
                            </w:r>
                          </w:p>
                        </w:txbxContent>
                      </wps:txbx>
                      <wps:bodyPr rtlCol="0" anchor="ctr"/>
                    </wps:wsp>
                  </a:graphicData>
                </a:graphic>
              </wp:anchor>
            </w:drawing>
          </mc:Choice>
          <mc:Fallback>
            <w:pict>
              <v:rect w14:anchorId="2301A510" id="Rectangle 19" o:spid="_x0000_s1027" style="position:absolute;margin-left:.6pt;margin-top:129.75pt;width:158.7pt;height:36.25pt;z-index:251592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" fillcolor="#a5a5a5 [2092]" strokecolor="#a5a5a5 [2092]" strokeweight="2pt">
                <v:textbox>
                  <w:txbxContent>
                    <w:p w:rsidR="001B2D99" w:rsidRPr="006157AC" w:rsidRDefault="001B2D99" w:rsidP="00FB5F97">
                      <w:pPr>
                        <w:pStyle w:val="NormalWeb"/>
                        <w:spacing w:before="0" w:beforeAutospacing="0" w:after="0" w:afterAutospacing="0"/>
                        <w:jc w:val="center"/>
                        <w:rPr>
                          <w:color w:val="002C47" w:themeColor="text1"/>
                        </w:rPr>
                      </w:pPr>
                      <w:r>
                        <w:rPr>
                          <w:rFonts w:asciiTheme="minorHAnsi" w:hAnsi="Calibri" w:cstheme="minorBidi"/>
                          <w:color w:val="002C47" w:themeColor="text1"/>
                          <w:kern w:val="24"/>
                        </w:rPr>
                        <w:t>Licence Variation Fee</w:t>
                      </w:r>
                    </w:p>
                  </w:txbxContent>
                </v:textbox>
              </v:rect>
            </w:pict>
          </mc:Fallback>
        </mc:AlternateContent>
      </w:r>
      <w:r>
        <w:rPr>
          <w:noProof/>
          <w:lang w:eastAsia="en-AU"/>
        </w:rPr>
        <mc:AlternateContent>
          <mc:Choice Requires="wps">
            <w:drawing>
              <wp:anchor distT="0" distB="0" distL="114300" distR="114300" simplePos="0" relativeHeight="251598848" behindDoc="0" locked="0" layoutInCell="1" allowOverlap="1" wp14:anchorId="21167662" wp14:editId="75C85F6C">
                <wp:simplePos x="0" y="0"/>
                <wp:positionH relativeFrom="column">
                  <wp:posOffset>0</wp:posOffset>
                </wp:positionH>
                <wp:positionV relativeFrom="paragraph">
                  <wp:posOffset>2228850</wp:posOffset>
                </wp:positionV>
                <wp:extent cx="2015490" cy="460375"/>
                <wp:effectExtent l="0" t="0" r="22860" b="15875"/>
                <wp:wrapNone/>
                <wp:docPr id="21" name="Rectangle 20"/>
                <wp:cNvGraphicFramePr/>
                <a:graphic xmlns:a="http://schemas.openxmlformats.org/drawingml/2006/main">
                  <a:graphicData uri="http://schemas.microsoft.com/office/word/2010/wordprocessingShape">
                    <wps:wsp>
                      <wps:cNvSpPr/>
                      <wps:spPr>
                        <a:xfrm>
                          <a:off x="0" y="0"/>
                          <a:ext cx="2015490" cy="460375"/>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B2D99" w:rsidRPr="006157AC" w:rsidRDefault="001B2D99" w:rsidP="00FB5F97">
                            <w:pPr>
                              <w:pStyle w:val="NormalWeb"/>
                              <w:spacing w:before="0" w:beforeAutospacing="0" w:after="0" w:afterAutospacing="0"/>
                              <w:jc w:val="center"/>
                              <w:rPr>
                                <w:color w:val="002C47" w:themeColor="text1"/>
                              </w:rPr>
                            </w:pPr>
                            <w:r>
                              <w:rPr>
                                <w:rFonts w:asciiTheme="minorHAnsi" w:hAnsi="Calibri" w:cstheme="minorBidi"/>
                                <w:color w:val="002C47" w:themeColor="text1"/>
                                <w:kern w:val="24"/>
                              </w:rPr>
                              <w:t>Permit Application Fee</w:t>
                            </w:r>
                          </w:p>
                        </w:txbxContent>
                      </wps:txbx>
                      <wps:bodyPr rtlCol="0" anchor="ctr"/>
                    </wps:wsp>
                  </a:graphicData>
                </a:graphic>
              </wp:anchor>
            </w:drawing>
          </mc:Choice>
          <mc:Fallback>
            <w:pict>
              <v:rect w14:anchorId="21167662" id="Rectangle 20" o:spid="_x0000_s1028" style="position:absolute;margin-left:0;margin-top:175.5pt;width:158.7pt;height:36.25pt;z-index:251598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" fillcolor="#a5a5a5 [2092]" strokecolor="#a5a5a5 [2092]" strokeweight="2pt">
                <v:textbox>
                  <w:txbxContent>
                    <w:p w:rsidR="001B2D99" w:rsidRPr="006157AC" w:rsidRDefault="001B2D99" w:rsidP="00FB5F97">
                      <w:pPr>
                        <w:pStyle w:val="NormalWeb"/>
                        <w:spacing w:before="0" w:beforeAutospacing="0" w:after="0" w:afterAutospacing="0"/>
                        <w:jc w:val="center"/>
                        <w:rPr>
                          <w:color w:val="002C47" w:themeColor="text1"/>
                        </w:rPr>
                      </w:pPr>
                      <w:r>
                        <w:rPr>
                          <w:rFonts w:asciiTheme="minorHAnsi" w:hAnsi="Calibri" w:cstheme="minorBidi"/>
                          <w:color w:val="002C47" w:themeColor="text1"/>
                          <w:kern w:val="24"/>
                        </w:rPr>
                        <w:t>Permit Application Fee</w:t>
                      </w:r>
                    </w:p>
                  </w:txbxContent>
                </v:textbox>
              </v:rect>
            </w:pict>
          </mc:Fallback>
        </mc:AlternateContent>
      </w:r>
      <w:r>
        <w:rPr>
          <w:noProof/>
          <w:lang w:eastAsia="en-AU"/>
        </w:rPr>
        <mc:AlternateContent>
          <mc:Choice Requires="wps">
            <w:drawing>
              <wp:anchor distT="0" distB="0" distL="114300" distR="114300" simplePos="0" relativeHeight="251604992" behindDoc="0" locked="0" layoutInCell="1" allowOverlap="1" wp14:anchorId="2D49BC9E" wp14:editId="00D5B1E6">
                <wp:simplePos x="0" y="0"/>
                <wp:positionH relativeFrom="column">
                  <wp:posOffset>9525</wp:posOffset>
                </wp:positionH>
                <wp:positionV relativeFrom="paragraph">
                  <wp:posOffset>2819400</wp:posOffset>
                </wp:positionV>
                <wp:extent cx="2015490" cy="460375"/>
                <wp:effectExtent l="0" t="0" r="22860" b="15875"/>
                <wp:wrapNone/>
                <wp:docPr id="22" name="Rectangle 21"/>
                <wp:cNvGraphicFramePr/>
                <a:graphic xmlns:a="http://schemas.openxmlformats.org/drawingml/2006/main">
                  <a:graphicData uri="http://schemas.microsoft.com/office/word/2010/wordprocessingShape">
                    <wps:wsp>
                      <wps:cNvSpPr/>
                      <wps:spPr>
                        <a:xfrm>
                          <a:off x="0" y="0"/>
                          <a:ext cx="2015490" cy="460375"/>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B2D99" w:rsidRPr="006157AC" w:rsidRDefault="001B2D99" w:rsidP="00FB5F97">
                            <w:pPr>
                              <w:pStyle w:val="NormalWeb"/>
                              <w:spacing w:before="0" w:beforeAutospacing="0" w:after="0" w:afterAutospacing="0"/>
                              <w:jc w:val="center"/>
                              <w:rPr>
                                <w:color w:val="002C47" w:themeColor="text1"/>
                              </w:rPr>
                            </w:pPr>
                            <w:r>
                              <w:rPr>
                                <w:rFonts w:asciiTheme="minorHAnsi" w:hAnsi="Calibri" w:cstheme="minorBidi"/>
                                <w:color w:val="002C47" w:themeColor="text1"/>
                                <w:kern w:val="24"/>
                              </w:rPr>
                              <w:t>Permit Variation Fee</w:t>
                            </w:r>
                          </w:p>
                        </w:txbxContent>
                      </wps:txbx>
                      <wps:bodyPr rtlCol="0" anchor="ctr"/>
                    </wps:wsp>
                  </a:graphicData>
                </a:graphic>
              </wp:anchor>
            </w:drawing>
          </mc:Choice>
          <mc:Fallback>
            <w:pict>
              <v:rect w14:anchorId="2D49BC9E" id="Rectangle 21" o:spid="_x0000_s1029" style="position:absolute;margin-left:.75pt;margin-top:222pt;width:158.7pt;height:36.25pt;z-index:251604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" fillcolor="#a5a5a5 [2092]" strokecolor="#a5a5a5 [2092]" strokeweight="2pt">
                <v:textbox>
                  <w:txbxContent>
                    <w:p w:rsidR="001B2D99" w:rsidRPr="006157AC" w:rsidRDefault="001B2D99" w:rsidP="00FB5F97">
                      <w:pPr>
                        <w:pStyle w:val="NormalWeb"/>
                        <w:spacing w:before="0" w:beforeAutospacing="0" w:after="0" w:afterAutospacing="0"/>
                        <w:jc w:val="center"/>
                        <w:rPr>
                          <w:color w:val="002C47" w:themeColor="text1"/>
                        </w:rPr>
                      </w:pPr>
                      <w:r>
                        <w:rPr>
                          <w:rFonts w:asciiTheme="minorHAnsi" w:hAnsi="Calibri" w:cstheme="minorBidi"/>
                          <w:color w:val="002C47" w:themeColor="text1"/>
                          <w:kern w:val="24"/>
                        </w:rPr>
                        <w:t>Permit Variation Fee</w:t>
                      </w:r>
                    </w:p>
                  </w:txbxContent>
                </v:textbox>
              </v:rect>
            </w:pict>
          </mc:Fallback>
        </mc:AlternateContent>
      </w:r>
      <w:r>
        <w:rPr>
          <w:noProof/>
          <w:lang w:eastAsia="en-AU"/>
        </w:rPr>
        <mc:AlternateContent>
          <mc:Choice Requires="wps">
            <w:drawing>
              <wp:anchor distT="0" distB="0" distL="114300" distR="114300" simplePos="0" relativeHeight="251611136" behindDoc="0" locked="0" layoutInCell="1" allowOverlap="1" wp14:anchorId="48EC78DD" wp14:editId="32E599CB">
                <wp:simplePos x="0" y="0"/>
                <wp:positionH relativeFrom="column">
                  <wp:posOffset>9525</wp:posOffset>
                </wp:positionH>
                <wp:positionV relativeFrom="paragraph">
                  <wp:posOffset>3409950</wp:posOffset>
                </wp:positionV>
                <wp:extent cx="2015490" cy="460375"/>
                <wp:effectExtent l="0" t="0" r="22860" b="15875"/>
                <wp:wrapNone/>
                <wp:docPr id="23" name="Rectangle 22"/>
                <wp:cNvGraphicFramePr/>
                <a:graphic xmlns:a="http://schemas.openxmlformats.org/drawingml/2006/main">
                  <a:graphicData uri="http://schemas.microsoft.com/office/word/2010/wordprocessingShape">
                    <wps:wsp>
                      <wps:cNvSpPr/>
                      <wps:spPr>
                        <a:xfrm>
                          <a:off x="0" y="0"/>
                          <a:ext cx="2015490" cy="460375"/>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B2D99" w:rsidRPr="006157AC" w:rsidRDefault="001B2D99" w:rsidP="00FB5F97">
                            <w:pPr>
                              <w:pStyle w:val="NormalWeb"/>
                              <w:spacing w:before="0" w:beforeAutospacing="0" w:after="0" w:afterAutospacing="0"/>
                              <w:jc w:val="center"/>
                              <w:rPr>
                                <w:color w:val="002C47" w:themeColor="text1"/>
                              </w:rPr>
                            </w:pPr>
                            <w:r>
                              <w:rPr>
                                <w:rFonts w:asciiTheme="minorHAnsi" w:hAnsi="Calibri" w:cstheme="minorBidi"/>
                                <w:color w:val="002C47" w:themeColor="text1"/>
                                <w:kern w:val="24"/>
                              </w:rPr>
                              <w:t>Inspection Fee</w:t>
                            </w:r>
                          </w:p>
                        </w:txbxContent>
                      </wps:txbx>
                      <wps:bodyPr rtlCol="0" anchor="ctr"/>
                    </wps:wsp>
                  </a:graphicData>
                </a:graphic>
              </wp:anchor>
            </w:drawing>
          </mc:Choice>
          <mc:Fallback>
            <w:pict>
              <v:rect w14:anchorId="48EC78DD" id="Rectangle 22" o:spid="_x0000_s1030" style="position:absolute;margin-left:.75pt;margin-top:268.5pt;width:158.7pt;height:36.25pt;z-index:251611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" fillcolor="#a5a5a5 [2092]" strokecolor="#a5a5a5 [2092]" strokeweight="2pt">
                <v:textbox>
                  <w:txbxContent>
                    <w:p w:rsidR="001B2D99" w:rsidRPr="006157AC" w:rsidRDefault="001B2D99" w:rsidP="00FB5F97">
                      <w:pPr>
                        <w:pStyle w:val="NormalWeb"/>
                        <w:spacing w:before="0" w:beforeAutospacing="0" w:after="0" w:afterAutospacing="0"/>
                        <w:jc w:val="center"/>
                        <w:rPr>
                          <w:color w:val="002C47" w:themeColor="text1"/>
                        </w:rPr>
                      </w:pPr>
                      <w:r>
                        <w:rPr>
                          <w:rFonts w:asciiTheme="minorHAnsi" w:hAnsi="Calibri" w:cstheme="minorBidi"/>
                          <w:color w:val="002C47" w:themeColor="text1"/>
                          <w:kern w:val="24"/>
                        </w:rPr>
                        <w:t>Inspection Fee</w:t>
                      </w:r>
                    </w:p>
                  </w:txbxContent>
                </v:textbox>
              </v:rect>
            </w:pict>
          </mc:Fallback>
        </mc:AlternateContent>
      </w:r>
      <w:r>
        <w:rPr>
          <w:noProof/>
          <w:lang w:eastAsia="en-AU"/>
        </w:rPr>
        <mc:AlternateContent>
          <mc:Choice Requires="wps">
            <w:drawing>
              <wp:anchor distT="0" distB="0" distL="114300" distR="114300" simplePos="0" relativeHeight="251617280" behindDoc="0" locked="0" layoutInCell="1" allowOverlap="1" wp14:anchorId="24FEB5C0" wp14:editId="5A8F5CEB">
                <wp:simplePos x="0" y="0"/>
                <wp:positionH relativeFrom="column">
                  <wp:posOffset>0</wp:posOffset>
                </wp:positionH>
                <wp:positionV relativeFrom="paragraph">
                  <wp:posOffset>3962400</wp:posOffset>
                </wp:positionV>
                <wp:extent cx="2015490" cy="460375"/>
                <wp:effectExtent l="0" t="0" r="22860" b="15875"/>
                <wp:wrapNone/>
                <wp:docPr id="37" name="Rectangle 36"/>
                <wp:cNvGraphicFramePr/>
                <a:graphic xmlns:a="http://schemas.openxmlformats.org/drawingml/2006/main">
                  <a:graphicData uri="http://schemas.microsoft.com/office/word/2010/wordprocessingShape">
                    <wps:wsp>
                      <wps:cNvSpPr/>
                      <wps:spPr>
                        <a:xfrm>
                          <a:off x="0" y="0"/>
                          <a:ext cx="2015490" cy="460375"/>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B2D99" w:rsidRPr="006157AC" w:rsidRDefault="001B2D99" w:rsidP="00FB5F97">
                            <w:pPr>
                              <w:pStyle w:val="NormalWeb"/>
                              <w:spacing w:before="0" w:beforeAutospacing="0" w:after="0" w:afterAutospacing="0"/>
                              <w:jc w:val="center"/>
                              <w:rPr>
                                <w:color w:val="002C47" w:themeColor="text1"/>
                              </w:rPr>
                            </w:pPr>
                            <w:r>
                              <w:rPr>
                                <w:rFonts w:asciiTheme="minorHAnsi" w:hAnsi="Calibri" w:cstheme="minorBidi"/>
                                <w:color w:val="002C47" w:themeColor="text1"/>
                                <w:kern w:val="24"/>
                              </w:rPr>
                              <w:t>Annual Charge</w:t>
                            </w:r>
                          </w:p>
                        </w:txbxContent>
                      </wps:txbx>
                      <wps:bodyPr rtlCol="0" anchor="ctr"/>
                    </wps:wsp>
                  </a:graphicData>
                </a:graphic>
              </wp:anchor>
            </w:drawing>
          </mc:Choice>
          <mc:Fallback>
            <w:pict>
              <v:rect w14:anchorId="24FEB5C0" id="Rectangle 36" o:spid="_x0000_s1031" style="position:absolute;margin-left:0;margin-top:312pt;width:158.7pt;height:36.25pt;z-index:251617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" fillcolor="#a5a5a5 [2092]" strokecolor="#a5a5a5 [2092]" strokeweight="2pt">
                <v:textbox>
                  <w:txbxContent>
                    <w:p w:rsidR="001B2D99" w:rsidRPr="006157AC" w:rsidRDefault="001B2D99" w:rsidP="00FB5F97">
                      <w:pPr>
                        <w:pStyle w:val="NormalWeb"/>
                        <w:spacing w:before="0" w:beforeAutospacing="0" w:after="0" w:afterAutospacing="0"/>
                        <w:jc w:val="center"/>
                        <w:rPr>
                          <w:color w:val="002C47" w:themeColor="text1"/>
                        </w:rPr>
                      </w:pPr>
                      <w:r>
                        <w:rPr>
                          <w:rFonts w:asciiTheme="minorHAnsi" w:hAnsi="Calibri" w:cstheme="minorBidi"/>
                          <w:color w:val="002C47" w:themeColor="text1"/>
                          <w:kern w:val="24"/>
                        </w:rPr>
                        <w:t>Annual Charge</w:t>
                      </w:r>
                    </w:p>
                  </w:txbxContent>
                </v:textbox>
              </v:rect>
            </w:pict>
          </mc:Fallback>
        </mc:AlternateContent>
      </w:r>
      <w:r>
        <w:rPr>
          <w:noProof/>
          <w:lang w:eastAsia="en-AU"/>
        </w:rPr>
        <mc:AlternateContent>
          <mc:Choice Requires="wps">
            <w:drawing>
              <wp:anchor distT="0" distB="0" distL="114300" distR="114300" simplePos="0" relativeHeight="251635712" behindDoc="0" locked="0" layoutInCell="1" allowOverlap="1" wp14:anchorId="35A4B80E" wp14:editId="0B35C35C">
                <wp:simplePos x="0" y="0"/>
                <wp:positionH relativeFrom="column">
                  <wp:posOffset>2247900</wp:posOffset>
                </wp:positionH>
                <wp:positionV relativeFrom="paragraph">
                  <wp:posOffset>1104900</wp:posOffset>
                </wp:positionV>
                <wp:extent cx="1619885" cy="460375"/>
                <wp:effectExtent l="0" t="0" r="0" b="0"/>
                <wp:wrapNone/>
                <wp:docPr id="29" name="Rectangle 28"/>
                <wp:cNvGraphicFramePr/>
                <a:graphic xmlns:a="http://schemas.openxmlformats.org/drawingml/2006/main">
                  <a:graphicData uri="http://schemas.microsoft.com/office/word/2010/wordprocessingShape">
                    <wps:wsp>
                      <wps:cNvSpPr/>
                      <wps:spPr>
                        <a:xfrm>
                          <a:off x="0" y="0"/>
                          <a:ext cx="1619885" cy="460375"/>
                        </a:xfrm>
                        <a:prstGeom prst="rect">
                          <a:avLst/>
                        </a:prstGeom>
                        <a:solidFill>
                          <a:srgbClr val="5B9BD5"/>
                        </a:solidFill>
                        <a:ln w="9525">
                          <a:no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1B2D99" w:rsidRDefault="001B2D99" w:rsidP="00FB5F97">
                            <w:pPr>
                              <w:pStyle w:val="NormalWeb"/>
                              <w:spacing w:before="0" w:beforeAutospacing="0" w:after="0" w:afterAutospacing="0"/>
                              <w:jc w:val="center"/>
                            </w:pPr>
                            <w:r>
                              <w:rPr>
                                <w:rFonts w:asciiTheme="minorHAnsi" w:hAnsi="Calibri" w:cstheme="minorBidi"/>
                                <w:color w:val="FFFFFF" w:themeColor="background1"/>
                                <w:kern w:val="24"/>
                              </w:rPr>
                              <w:t>Double Licence Application Fee</w:t>
                            </w:r>
                          </w:p>
                        </w:txbxContent>
                      </wps:txbx>
                      <wps:bodyPr rtlCol="0" anchor="ctr"/>
                    </wps:wsp>
                  </a:graphicData>
                </a:graphic>
              </wp:anchor>
            </w:drawing>
          </mc:Choice>
          <mc:Fallback>
            <w:pict>
              <v:rect w14:anchorId="35A4B80E" id="Rectangle 28" o:spid="_x0000_s1032" style="position:absolute;margin-left:177pt;margin-top:87pt;width:127.55pt;height:36.25pt;z-index:251635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" fillcolor="#5b9bd5" stroked="f">
                <v:stroke dashstyle="dash"/>
                <v:textbox>
                  <w:txbxContent>
                    <w:p w:rsidR="001B2D99" w:rsidRDefault="001B2D99" w:rsidP="00FB5F97">
                      <w:pPr>
                        <w:pStyle w:val="NormalWeb"/>
                        <w:spacing w:before="0" w:beforeAutospacing="0" w:after="0" w:afterAutospacing="0"/>
                        <w:jc w:val="center"/>
                      </w:pPr>
                      <w:r>
                        <w:rPr>
                          <w:rFonts w:asciiTheme="minorHAnsi" w:hAnsi="Calibri" w:cstheme="minorBidi"/>
                          <w:color w:val="FFFFFF" w:themeColor="background1"/>
                          <w:kern w:val="24"/>
                        </w:rPr>
                        <w:t>Double Licence Application Fee</w:t>
                      </w:r>
                    </w:p>
                  </w:txbxContent>
                </v:textbox>
              </v:rect>
            </w:pict>
          </mc:Fallback>
        </mc:AlternateContent>
      </w:r>
      <w:r>
        <w:rPr>
          <w:noProof/>
          <w:lang w:eastAsia="en-AU"/>
        </w:rPr>
        <mc:AlternateContent>
          <mc:Choice Requires="wps">
            <w:drawing>
              <wp:anchor distT="0" distB="0" distL="114300" distR="114300" simplePos="0" relativeHeight="251648000" behindDoc="0" locked="0" layoutInCell="1" allowOverlap="1" wp14:anchorId="7ADEA7AE" wp14:editId="4AD3AD1B">
                <wp:simplePos x="0" y="0"/>
                <wp:positionH relativeFrom="column">
                  <wp:posOffset>2247900</wp:posOffset>
                </wp:positionH>
                <wp:positionV relativeFrom="paragraph">
                  <wp:posOffset>1647825</wp:posOffset>
                </wp:positionV>
                <wp:extent cx="1619885" cy="460375"/>
                <wp:effectExtent l="0" t="0" r="18415" b="15875"/>
                <wp:wrapNone/>
                <wp:docPr id="28" name="Rectangle 27"/>
                <wp:cNvGraphicFramePr/>
                <a:graphic xmlns:a="http://schemas.openxmlformats.org/drawingml/2006/main">
                  <a:graphicData uri="http://schemas.microsoft.com/office/word/2010/wordprocessingShape">
                    <wps:wsp>
                      <wps:cNvSpPr/>
                      <wps:spPr>
                        <a:xfrm>
                          <a:off x="0" y="0"/>
                          <a:ext cx="1619885" cy="460375"/>
                        </a:xfrm>
                        <a:prstGeom prst="rect">
                          <a:avLst/>
                        </a:prstGeom>
                        <a:solidFill>
                          <a:srgbClr val="5B9BD5"/>
                        </a:solidFill>
                        <a:ln>
                          <a:solidFill>
                            <a:srgbClr val="5B9BD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B2D99" w:rsidRDefault="001B2D99" w:rsidP="00FB5F97">
                            <w:pPr>
                              <w:pStyle w:val="NormalWeb"/>
                              <w:spacing w:before="0" w:beforeAutospacing="0" w:after="0" w:afterAutospacing="0"/>
                              <w:jc w:val="center"/>
                            </w:pPr>
                            <w:r>
                              <w:rPr>
                                <w:rFonts w:asciiTheme="minorHAnsi" w:hAnsi="Calibri" w:cstheme="minorBidi"/>
                                <w:color w:val="FFFFFF" w:themeColor="background1"/>
                                <w:kern w:val="24"/>
                              </w:rPr>
                              <w:t>Licence Variation - Simple</w:t>
                            </w:r>
                          </w:p>
                        </w:txbxContent>
                      </wps:txbx>
                      <wps:bodyPr rtlCol="0" anchor="ctr"/>
                    </wps:wsp>
                  </a:graphicData>
                </a:graphic>
              </wp:anchor>
            </w:drawing>
          </mc:Choice>
          <mc:Fallback>
            <w:pict>
              <v:rect w14:anchorId="7ADEA7AE" id="Rectangle 27" o:spid="_x0000_s1033" style="position:absolute;margin-left:177pt;margin-top:129.75pt;width:127.55pt;height:36.25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" fillcolor="#5b9bd5" strokecolor="#5b9bd5" strokeweight="2pt">
                <v:textbox>
                  <w:txbxContent>
                    <w:p w:rsidR="001B2D99" w:rsidRDefault="001B2D99" w:rsidP="00FB5F97">
                      <w:pPr>
                        <w:pStyle w:val="NormalWeb"/>
                        <w:spacing w:before="0" w:beforeAutospacing="0" w:after="0" w:afterAutospacing="0"/>
                        <w:jc w:val="center"/>
                      </w:pPr>
                      <w:r>
                        <w:rPr>
                          <w:rFonts w:asciiTheme="minorHAnsi" w:hAnsi="Calibri" w:cstheme="minorBidi"/>
                          <w:color w:val="FFFFFF" w:themeColor="background1"/>
                          <w:kern w:val="24"/>
                        </w:rPr>
                        <w:t>Licence Variation - Simple</w:t>
                      </w:r>
                    </w:p>
                  </w:txbxContent>
                </v:textbox>
              </v:rect>
            </w:pict>
          </mc:Fallback>
        </mc:AlternateContent>
      </w:r>
      <w:r>
        <w:rPr>
          <w:noProof/>
          <w:lang w:eastAsia="en-AU"/>
        </w:rPr>
        <mc:AlternateContent>
          <mc:Choice Requires="wps">
            <w:drawing>
              <wp:anchor distT="0" distB="0" distL="114300" distR="114300" simplePos="0" relativeHeight="251660288" behindDoc="0" locked="0" layoutInCell="1" allowOverlap="1" wp14:anchorId="36F580BD" wp14:editId="0358A5D6">
                <wp:simplePos x="0" y="0"/>
                <wp:positionH relativeFrom="column">
                  <wp:posOffset>2247900</wp:posOffset>
                </wp:positionH>
                <wp:positionV relativeFrom="paragraph">
                  <wp:posOffset>2228850</wp:posOffset>
                </wp:positionV>
                <wp:extent cx="1619885" cy="460375"/>
                <wp:effectExtent l="0" t="0" r="18415" b="15875"/>
                <wp:wrapNone/>
                <wp:docPr id="27" name="Rectangle 26"/>
                <wp:cNvGraphicFramePr/>
                <a:graphic xmlns:a="http://schemas.openxmlformats.org/drawingml/2006/main">
                  <a:graphicData uri="http://schemas.microsoft.com/office/word/2010/wordprocessingShape">
                    <wps:wsp>
                      <wps:cNvSpPr/>
                      <wps:spPr>
                        <a:xfrm>
                          <a:off x="0" y="0"/>
                          <a:ext cx="1619885" cy="460375"/>
                        </a:xfrm>
                        <a:prstGeom prst="rect">
                          <a:avLst/>
                        </a:prstGeom>
                        <a:solidFill>
                          <a:srgbClr val="5B9BD5"/>
                        </a:solidFill>
                        <a:ln>
                          <a:solidFill>
                            <a:srgbClr val="5B9BD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B2D99" w:rsidRDefault="001B2D99" w:rsidP="00FB5F97">
                            <w:pPr>
                              <w:pStyle w:val="NormalWeb"/>
                              <w:spacing w:before="0" w:beforeAutospacing="0" w:after="0" w:afterAutospacing="0"/>
                              <w:jc w:val="center"/>
                            </w:pPr>
                            <w:r>
                              <w:rPr>
                                <w:rFonts w:asciiTheme="minorHAnsi" w:hAnsi="Calibri" w:cstheme="minorBidi"/>
                                <w:color w:val="FFFFFF" w:themeColor="background1"/>
                                <w:kern w:val="24"/>
                              </w:rPr>
                              <w:t>Permit Application Fee</w:t>
                            </w:r>
                          </w:p>
                        </w:txbxContent>
                      </wps:txbx>
                      <wps:bodyPr rtlCol="0" anchor="ctr"/>
                    </wps:wsp>
                  </a:graphicData>
                </a:graphic>
              </wp:anchor>
            </w:drawing>
          </mc:Choice>
          <mc:Fallback>
            <w:pict>
              <v:rect w14:anchorId="36F580BD" id="Rectangle 26" o:spid="_x0000_s1034" style="position:absolute;margin-left:177pt;margin-top:175.5pt;width:127.55pt;height:36.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" fillcolor="#5b9bd5" strokecolor="#5b9bd5" strokeweight="2pt">
                <v:textbox>
                  <w:txbxContent>
                    <w:p w:rsidR="001B2D99" w:rsidRDefault="001B2D99" w:rsidP="00FB5F97">
                      <w:pPr>
                        <w:pStyle w:val="NormalWeb"/>
                        <w:spacing w:before="0" w:beforeAutospacing="0" w:after="0" w:afterAutospacing="0"/>
                        <w:jc w:val="center"/>
                      </w:pPr>
                      <w:r>
                        <w:rPr>
                          <w:rFonts w:asciiTheme="minorHAnsi" w:hAnsi="Calibri" w:cstheme="minorBidi"/>
                          <w:color w:val="FFFFFF" w:themeColor="background1"/>
                          <w:kern w:val="24"/>
                        </w:rPr>
                        <w:t>Permit Application Fee</w:t>
                      </w:r>
                    </w:p>
                  </w:txbxContent>
                </v:textbox>
              </v:rect>
            </w:pict>
          </mc:Fallback>
        </mc:AlternateContent>
      </w:r>
      <w:r>
        <w:rPr>
          <w:noProof/>
          <w:lang w:eastAsia="en-AU"/>
        </w:rPr>
        <mc:AlternateContent>
          <mc:Choice Requires="wps">
            <w:drawing>
              <wp:anchor distT="0" distB="0" distL="114300" distR="114300" simplePos="0" relativeHeight="251666432" behindDoc="0" locked="0" layoutInCell="1" allowOverlap="1" wp14:anchorId="7F558701" wp14:editId="0F291ACA">
                <wp:simplePos x="0" y="0"/>
                <wp:positionH relativeFrom="column">
                  <wp:posOffset>2247900</wp:posOffset>
                </wp:positionH>
                <wp:positionV relativeFrom="paragraph">
                  <wp:posOffset>2819400</wp:posOffset>
                </wp:positionV>
                <wp:extent cx="1619885" cy="460375"/>
                <wp:effectExtent l="0" t="0" r="18415" b="15875"/>
                <wp:wrapNone/>
                <wp:docPr id="26" name="Rectangle 25"/>
                <wp:cNvGraphicFramePr/>
                <a:graphic xmlns:a="http://schemas.openxmlformats.org/drawingml/2006/main">
                  <a:graphicData uri="http://schemas.microsoft.com/office/word/2010/wordprocessingShape">
                    <wps:wsp>
                      <wps:cNvSpPr/>
                      <wps:spPr>
                        <a:xfrm>
                          <a:off x="0" y="0"/>
                          <a:ext cx="1619885" cy="460375"/>
                        </a:xfrm>
                        <a:prstGeom prst="rect">
                          <a:avLst/>
                        </a:prstGeom>
                        <a:solidFill>
                          <a:srgbClr val="5B9BD5"/>
                        </a:solidFill>
                        <a:ln>
                          <a:solidFill>
                            <a:srgbClr val="5B9BD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B2D99" w:rsidRDefault="001B2D99" w:rsidP="00FB5F97">
                            <w:pPr>
                              <w:pStyle w:val="NormalWeb"/>
                              <w:spacing w:before="0" w:beforeAutospacing="0" w:after="0" w:afterAutospacing="0"/>
                              <w:jc w:val="center"/>
                            </w:pPr>
                            <w:r>
                              <w:rPr>
                                <w:rFonts w:asciiTheme="minorHAnsi" w:hAnsi="Calibri" w:cstheme="minorBidi"/>
                                <w:color w:val="FFFFFF" w:themeColor="background1"/>
                                <w:kern w:val="24"/>
                              </w:rPr>
                              <w:t>Permit Variation Fee</w:t>
                            </w:r>
                          </w:p>
                        </w:txbxContent>
                      </wps:txbx>
                      <wps:bodyPr rtlCol="0" anchor="ctr"/>
                    </wps:wsp>
                  </a:graphicData>
                </a:graphic>
              </wp:anchor>
            </w:drawing>
          </mc:Choice>
          <mc:Fallback>
            <w:pict>
              <v:rect w14:anchorId="7F558701" id="Rectangle 25" o:spid="_x0000_s1035" style="position:absolute;margin-left:177pt;margin-top:222pt;width:127.55pt;height:36.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" fillcolor="#5b9bd5" strokecolor="#5b9bd5" strokeweight="2pt">
                <v:textbox>
                  <w:txbxContent>
                    <w:p w:rsidR="001B2D99" w:rsidRDefault="001B2D99" w:rsidP="00FB5F97">
                      <w:pPr>
                        <w:pStyle w:val="NormalWeb"/>
                        <w:spacing w:before="0" w:beforeAutospacing="0" w:after="0" w:afterAutospacing="0"/>
                        <w:jc w:val="center"/>
                      </w:pPr>
                      <w:r>
                        <w:rPr>
                          <w:rFonts w:asciiTheme="minorHAnsi" w:hAnsi="Calibri" w:cstheme="minorBidi"/>
                          <w:color w:val="FFFFFF" w:themeColor="background1"/>
                          <w:kern w:val="24"/>
                        </w:rPr>
                        <w:t>Permit Variation Fee</w:t>
                      </w:r>
                    </w:p>
                  </w:txbxContent>
                </v:textbox>
              </v:rect>
            </w:pict>
          </mc:Fallback>
        </mc:AlternateContent>
      </w:r>
      <w:r>
        <w:rPr>
          <w:noProof/>
          <w:lang w:eastAsia="en-AU"/>
        </w:rPr>
        <mc:AlternateContent>
          <mc:Choice Requires="wps">
            <w:drawing>
              <wp:anchor distT="0" distB="0" distL="114300" distR="114300" simplePos="0" relativeHeight="251678720" behindDoc="0" locked="0" layoutInCell="1" allowOverlap="1" wp14:anchorId="28103C41" wp14:editId="11E4531F">
                <wp:simplePos x="0" y="0"/>
                <wp:positionH relativeFrom="column">
                  <wp:posOffset>2247900</wp:posOffset>
                </wp:positionH>
                <wp:positionV relativeFrom="paragraph">
                  <wp:posOffset>3409950</wp:posOffset>
                </wp:positionV>
                <wp:extent cx="1619885" cy="460375"/>
                <wp:effectExtent l="0" t="0" r="18415" b="15875"/>
                <wp:wrapNone/>
                <wp:docPr id="25" name="Rectangle 24"/>
                <wp:cNvGraphicFramePr/>
                <a:graphic xmlns:a="http://schemas.openxmlformats.org/drawingml/2006/main">
                  <a:graphicData uri="http://schemas.microsoft.com/office/word/2010/wordprocessingShape">
                    <wps:wsp>
                      <wps:cNvSpPr/>
                      <wps:spPr>
                        <a:xfrm>
                          <a:off x="0" y="0"/>
                          <a:ext cx="1619885" cy="460375"/>
                        </a:xfrm>
                        <a:prstGeom prst="rect">
                          <a:avLst/>
                        </a:prstGeom>
                        <a:solidFill>
                          <a:srgbClr val="5B9BD5"/>
                        </a:solidFill>
                        <a:ln>
                          <a:solidFill>
                            <a:srgbClr val="5B9BD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B2D99" w:rsidRDefault="001B2D99" w:rsidP="00FB5F97">
                            <w:pPr>
                              <w:pStyle w:val="NormalWeb"/>
                              <w:spacing w:before="0" w:beforeAutospacing="0" w:after="0" w:afterAutospacing="0"/>
                              <w:jc w:val="center"/>
                            </w:pPr>
                            <w:r>
                              <w:rPr>
                                <w:rFonts w:asciiTheme="minorHAnsi" w:hAnsi="Calibri" w:cstheme="minorBidi"/>
                                <w:color w:val="FFFFFF" w:themeColor="background1"/>
                                <w:kern w:val="24"/>
                              </w:rPr>
                              <w:t>Pre-Commissioning Inspection Fee</w:t>
                            </w:r>
                          </w:p>
                        </w:txbxContent>
                      </wps:txbx>
                      <wps:bodyPr rtlCol="0" anchor="ctr"/>
                    </wps:wsp>
                  </a:graphicData>
                </a:graphic>
              </wp:anchor>
            </w:drawing>
          </mc:Choice>
          <mc:Fallback>
            <w:pict>
              <v:rect w14:anchorId="28103C41" id="Rectangle 24" o:spid="_x0000_s1036" style="position:absolute;margin-left:177pt;margin-top:268.5pt;width:127.55pt;height:36.2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" fillcolor="#5b9bd5" strokecolor="#5b9bd5" strokeweight="2pt">
                <v:textbox>
                  <w:txbxContent>
                    <w:p w:rsidR="001B2D99" w:rsidRDefault="001B2D99" w:rsidP="00FB5F97">
                      <w:pPr>
                        <w:pStyle w:val="NormalWeb"/>
                        <w:spacing w:before="0" w:beforeAutospacing="0" w:after="0" w:afterAutospacing="0"/>
                        <w:jc w:val="center"/>
                      </w:pPr>
                      <w:r>
                        <w:rPr>
                          <w:rFonts w:asciiTheme="minorHAnsi" w:hAnsi="Calibri" w:cstheme="minorBidi"/>
                          <w:color w:val="FFFFFF" w:themeColor="background1"/>
                          <w:kern w:val="24"/>
                        </w:rPr>
                        <w:t>Pre-Commissioning Inspection Fee</w:t>
                      </w:r>
                    </w:p>
                  </w:txbxContent>
                </v:textbox>
              </v:rect>
            </w:pict>
          </mc:Fallback>
        </mc:AlternateContent>
      </w:r>
      <w:r>
        <w:rPr>
          <w:noProof/>
          <w:lang w:eastAsia="en-AU"/>
        </w:rPr>
        <mc:AlternateContent>
          <mc:Choice Requires="wps">
            <w:drawing>
              <wp:anchor distT="0" distB="0" distL="114300" distR="114300" simplePos="0" relativeHeight="251684864" behindDoc="0" locked="0" layoutInCell="1" allowOverlap="1" wp14:anchorId="1A3D80C1" wp14:editId="44811BB1">
                <wp:simplePos x="0" y="0"/>
                <wp:positionH relativeFrom="column">
                  <wp:posOffset>2247900</wp:posOffset>
                </wp:positionH>
                <wp:positionV relativeFrom="paragraph">
                  <wp:posOffset>3962400</wp:posOffset>
                </wp:positionV>
                <wp:extent cx="1619885" cy="460375"/>
                <wp:effectExtent l="0" t="0" r="18415" b="15875"/>
                <wp:wrapNone/>
                <wp:docPr id="38" name="Rectangle 37"/>
                <wp:cNvGraphicFramePr/>
                <a:graphic xmlns:a="http://schemas.openxmlformats.org/drawingml/2006/main">
                  <a:graphicData uri="http://schemas.microsoft.com/office/word/2010/wordprocessingShape">
                    <wps:wsp>
                      <wps:cNvSpPr/>
                      <wps:spPr>
                        <a:xfrm>
                          <a:off x="0" y="0"/>
                          <a:ext cx="1619885" cy="460375"/>
                        </a:xfrm>
                        <a:prstGeom prst="rect">
                          <a:avLst/>
                        </a:prstGeom>
                        <a:solidFill>
                          <a:srgbClr val="5B9BD5"/>
                        </a:solidFill>
                        <a:ln>
                          <a:solidFill>
                            <a:srgbClr val="5B9BD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B2D99" w:rsidRDefault="001B2D99" w:rsidP="00FB5F97">
                            <w:pPr>
                              <w:pStyle w:val="NormalWeb"/>
                              <w:spacing w:before="0" w:beforeAutospacing="0" w:after="0" w:afterAutospacing="0"/>
                              <w:jc w:val="center"/>
                            </w:pPr>
                            <w:r>
                              <w:rPr>
                                <w:rFonts w:asciiTheme="minorHAnsi" w:hAnsi="Calibri" w:cstheme="minorBidi"/>
                                <w:color w:val="FFFFFF" w:themeColor="background1"/>
                                <w:kern w:val="24"/>
                              </w:rPr>
                              <w:t>Annual Licence Charge</w:t>
                            </w:r>
                          </w:p>
                        </w:txbxContent>
                      </wps:txbx>
                      <wps:bodyPr rtlCol="0" anchor="ctr"/>
                    </wps:wsp>
                  </a:graphicData>
                </a:graphic>
              </wp:anchor>
            </w:drawing>
          </mc:Choice>
          <mc:Fallback>
            <w:pict>
              <v:rect w14:anchorId="1A3D80C1" id="Rectangle 37" o:spid="_x0000_s1037" style="position:absolute;margin-left:177pt;margin-top:312pt;width:127.55pt;height:36.2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" fillcolor="#5b9bd5" strokecolor="#5b9bd5" strokeweight="2pt">
                <v:textbox>
                  <w:txbxContent>
                    <w:p w:rsidR="001B2D99" w:rsidRDefault="001B2D99" w:rsidP="00FB5F97">
                      <w:pPr>
                        <w:pStyle w:val="NormalWeb"/>
                        <w:spacing w:before="0" w:beforeAutospacing="0" w:after="0" w:afterAutospacing="0"/>
                        <w:jc w:val="center"/>
                      </w:pPr>
                      <w:r>
                        <w:rPr>
                          <w:rFonts w:asciiTheme="minorHAnsi" w:hAnsi="Calibri" w:cstheme="minorBidi"/>
                          <w:color w:val="FFFFFF" w:themeColor="background1"/>
                          <w:kern w:val="24"/>
                        </w:rPr>
                        <w:t>Annual Licence Charge</w:t>
                      </w:r>
                    </w:p>
                  </w:txbxContent>
                </v:textbox>
              </v:rect>
            </w:pict>
          </mc:Fallback>
        </mc:AlternateContent>
      </w:r>
      <w:r>
        <w:rPr>
          <w:noProof/>
          <w:lang w:eastAsia="en-AU"/>
        </w:rPr>
        <mc:AlternateContent>
          <mc:Choice Requires="wps">
            <w:drawing>
              <wp:anchor distT="0" distB="0" distL="114300" distR="114300" simplePos="0" relativeHeight="251672576" behindDoc="0" locked="0" layoutInCell="1" allowOverlap="1" wp14:anchorId="4B3BAF72" wp14:editId="4BC68733">
                <wp:simplePos x="0" y="0"/>
                <wp:positionH relativeFrom="column">
                  <wp:posOffset>4000500</wp:posOffset>
                </wp:positionH>
                <wp:positionV relativeFrom="paragraph">
                  <wp:posOffset>2819400</wp:posOffset>
                </wp:positionV>
                <wp:extent cx="1619885" cy="460375"/>
                <wp:effectExtent l="0" t="0" r="18415" b="15875"/>
                <wp:wrapNone/>
                <wp:docPr id="30" name="Rectangle 29"/>
                <wp:cNvGraphicFramePr/>
                <a:graphic xmlns:a="http://schemas.openxmlformats.org/drawingml/2006/main">
                  <a:graphicData uri="http://schemas.microsoft.com/office/word/2010/wordprocessingShape">
                    <wps:wsp>
                      <wps:cNvSpPr/>
                      <wps:spPr>
                        <a:xfrm>
                          <a:off x="0" y="0"/>
                          <a:ext cx="1619885" cy="460375"/>
                        </a:xfrm>
                        <a:prstGeom prst="rect">
                          <a:avLst/>
                        </a:prstGeom>
                        <a:solidFill>
                          <a:srgbClr val="5B9BD5"/>
                        </a:solidFill>
                        <a:ln>
                          <a:solidFill>
                            <a:srgbClr val="5B9BD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B2D99" w:rsidRDefault="001B2D99" w:rsidP="00FB5F97">
                            <w:pPr>
                              <w:pStyle w:val="NormalWeb"/>
                              <w:spacing w:before="0" w:beforeAutospacing="0" w:after="0" w:afterAutospacing="0"/>
                              <w:jc w:val="center"/>
                            </w:pPr>
                            <w:r>
                              <w:rPr>
                                <w:rFonts w:asciiTheme="minorHAnsi" w:hAnsi="Calibri" w:cstheme="minorBidi"/>
                                <w:color w:val="FFFFFF" w:themeColor="background1"/>
                                <w:kern w:val="24"/>
                              </w:rPr>
                              <w:t>Minor Permit Modification Fee</w:t>
                            </w:r>
                          </w:p>
                        </w:txbxContent>
                      </wps:txbx>
                      <wps:bodyPr rtlCol="0" anchor="ctr"/>
                    </wps:wsp>
                  </a:graphicData>
                </a:graphic>
              </wp:anchor>
            </w:drawing>
          </mc:Choice>
          <mc:Fallback>
            <w:pict>
              <v:rect w14:anchorId="4B3BAF72" id="Rectangle 29" o:spid="_x0000_s1038" style="position:absolute;margin-left:315pt;margin-top:222pt;width:127.55pt;height:36.2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" fillcolor="#5b9bd5" strokecolor="#5b9bd5" strokeweight="2pt">
                <v:textbox>
                  <w:txbxContent>
                    <w:p w:rsidR="001B2D99" w:rsidRDefault="001B2D99" w:rsidP="00FB5F97">
                      <w:pPr>
                        <w:pStyle w:val="NormalWeb"/>
                        <w:spacing w:before="0" w:beforeAutospacing="0" w:after="0" w:afterAutospacing="0"/>
                        <w:jc w:val="center"/>
                      </w:pPr>
                      <w:r>
                        <w:rPr>
                          <w:rFonts w:asciiTheme="minorHAnsi" w:hAnsi="Calibri" w:cstheme="minorBidi"/>
                          <w:color w:val="FFFFFF" w:themeColor="background1"/>
                          <w:kern w:val="24"/>
                        </w:rPr>
                        <w:t>Minor Permit Modification Fee</w:t>
                      </w:r>
                    </w:p>
                  </w:txbxContent>
                </v:textbox>
              </v:rect>
            </w:pict>
          </mc:Fallback>
        </mc:AlternateContent>
      </w:r>
      <w:r>
        <w:rPr>
          <w:noProof/>
          <w:lang w:eastAsia="en-AU"/>
        </w:rPr>
        <mc:AlternateContent>
          <mc:Choice Requires="wps">
            <w:drawing>
              <wp:anchor distT="0" distB="0" distL="114300" distR="114300" simplePos="0" relativeHeight="251654144" behindDoc="0" locked="0" layoutInCell="1" allowOverlap="1" wp14:anchorId="07FF809F" wp14:editId="6FF5FEC5">
                <wp:simplePos x="0" y="0"/>
                <wp:positionH relativeFrom="column">
                  <wp:posOffset>4000500</wp:posOffset>
                </wp:positionH>
                <wp:positionV relativeFrom="paragraph">
                  <wp:posOffset>1647825</wp:posOffset>
                </wp:positionV>
                <wp:extent cx="1619885" cy="460375"/>
                <wp:effectExtent l="0" t="0" r="18415" b="15875"/>
                <wp:wrapNone/>
                <wp:docPr id="31" name="Rectangle 30"/>
                <wp:cNvGraphicFramePr/>
                <a:graphic xmlns:a="http://schemas.openxmlformats.org/drawingml/2006/main">
                  <a:graphicData uri="http://schemas.microsoft.com/office/word/2010/wordprocessingShape">
                    <wps:wsp>
                      <wps:cNvSpPr/>
                      <wps:spPr>
                        <a:xfrm>
                          <a:off x="0" y="0"/>
                          <a:ext cx="1619885" cy="460375"/>
                        </a:xfrm>
                        <a:prstGeom prst="rect">
                          <a:avLst/>
                        </a:prstGeom>
                        <a:solidFill>
                          <a:srgbClr val="5B9BD5"/>
                        </a:solidFill>
                        <a:ln>
                          <a:solidFill>
                            <a:srgbClr val="5B9BD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B2D99" w:rsidRDefault="001B2D99" w:rsidP="00FB5F97">
                            <w:pPr>
                              <w:pStyle w:val="NormalWeb"/>
                              <w:spacing w:before="0" w:beforeAutospacing="0" w:after="0" w:afterAutospacing="0"/>
                              <w:jc w:val="center"/>
                            </w:pPr>
                            <w:r>
                              <w:rPr>
                                <w:rFonts w:asciiTheme="minorHAnsi" w:hAnsi="Calibri" w:cstheme="minorBidi"/>
                                <w:color w:val="FFFFFF" w:themeColor="background1"/>
                                <w:kern w:val="24"/>
                              </w:rPr>
                              <w:t>Licence Variation - Complex</w:t>
                            </w:r>
                          </w:p>
                        </w:txbxContent>
                      </wps:txbx>
                      <wps:bodyPr rtlCol="0" anchor="ctr"/>
                    </wps:wsp>
                  </a:graphicData>
                </a:graphic>
              </wp:anchor>
            </w:drawing>
          </mc:Choice>
          <mc:Fallback>
            <w:pict>
              <v:rect w14:anchorId="07FF809F" id="Rectangle 30" o:spid="_x0000_s1039" style="position:absolute;margin-left:315pt;margin-top:129.75pt;width:127.55pt;height:36.2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" fillcolor="#5b9bd5" strokecolor="#5b9bd5" strokeweight="2pt">
                <v:textbox>
                  <w:txbxContent>
                    <w:p w:rsidR="001B2D99" w:rsidRDefault="001B2D99" w:rsidP="00FB5F97">
                      <w:pPr>
                        <w:pStyle w:val="NormalWeb"/>
                        <w:spacing w:before="0" w:beforeAutospacing="0" w:after="0" w:afterAutospacing="0"/>
                        <w:jc w:val="center"/>
                      </w:pPr>
                      <w:r>
                        <w:rPr>
                          <w:rFonts w:asciiTheme="minorHAnsi" w:hAnsi="Calibri" w:cstheme="minorBidi"/>
                          <w:color w:val="FFFFFF" w:themeColor="background1"/>
                          <w:kern w:val="24"/>
                        </w:rPr>
                        <w:t>Licence Variation - Complex</w:t>
                      </w:r>
                    </w:p>
                  </w:txbxContent>
                </v:textbox>
              </v:rect>
            </w:pict>
          </mc:Fallback>
        </mc:AlternateContent>
      </w:r>
      <w:r>
        <w:rPr>
          <w:noProof/>
          <w:lang w:eastAsia="en-AU"/>
        </w:rPr>
        <mc:AlternateContent>
          <mc:Choice Requires="wps">
            <w:drawing>
              <wp:anchor distT="0" distB="0" distL="114300" distR="114300" simplePos="0" relativeHeight="251641856" behindDoc="0" locked="0" layoutInCell="1" allowOverlap="1" wp14:anchorId="033EED6A" wp14:editId="2026B521">
                <wp:simplePos x="0" y="0"/>
                <wp:positionH relativeFrom="column">
                  <wp:posOffset>4000500</wp:posOffset>
                </wp:positionH>
                <wp:positionV relativeFrom="paragraph">
                  <wp:posOffset>1104900</wp:posOffset>
                </wp:positionV>
                <wp:extent cx="1619885" cy="460375"/>
                <wp:effectExtent l="0" t="0" r="0" b="0"/>
                <wp:wrapNone/>
                <wp:docPr id="32" name="Rectangle 31"/>
                <wp:cNvGraphicFramePr/>
                <a:graphic xmlns:a="http://schemas.openxmlformats.org/drawingml/2006/main">
                  <a:graphicData uri="http://schemas.microsoft.com/office/word/2010/wordprocessingShape">
                    <wps:wsp>
                      <wps:cNvSpPr/>
                      <wps:spPr>
                        <a:xfrm>
                          <a:off x="0" y="0"/>
                          <a:ext cx="1619885" cy="460375"/>
                        </a:xfrm>
                        <a:prstGeom prst="rect">
                          <a:avLst/>
                        </a:prstGeom>
                        <a:solidFill>
                          <a:srgbClr val="5B9BD5"/>
                        </a:solidFill>
                        <a:ln w="9525">
                          <a:no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1B2D99" w:rsidRDefault="001B2D99" w:rsidP="00FB5F97">
                            <w:pPr>
                              <w:pStyle w:val="NormalWeb"/>
                              <w:spacing w:before="0" w:beforeAutospacing="0" w:after="0" w:afterAutospacing="0"/>
                              <w:jc w:val="center"/>
                            </w:pPr>
                            <w:r>
                              <w:rPr>
                                <w:rFonts w:asciiTheme="minorHAnsi" w:hAnsi="Calibri" w:cstheme="minorBidi"/>
                                <w:color w:val="FFFFFF" w:themeColor="background1"/>
                                <w:kern w:val="24"/>
                              </w:rPr>
                              <w:t>Triple Licence Application Fee</w:t>
                            </w:r>
                          </w:p>
                        </w:txbxContent>
                      </wps:txbx>
                      <wps:bodyPr rtlCol="0" anchor="ctr"/>
                    </wps:wsp>
                  </a:graphicData>
                </a:graphic>
              </wp:anchor>
            </w:drawing>
          </mc:Choice>
          <mc:Fallback>
            <w:pict>
              <v:rect w14:anchorId="033EED6A" id="Rectangle 31" o:spid="_x0000_s1040" style="position:absolute;margin-left:315pt;margin-top:87pt;width:127.55pt;height:36.25pt;z-index:251641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" fillcolor="#5b9bd5" stroked="f">
                <v:stroke dashstyle="dash"/>
                <v:textbox>
                  <w:txbxContent>
                    <w:p w:rsidR="001B2D99" w:rsidRDefault="001B2D99" w:rsidP="00FB5F97">
                      <w:pPr>
                        <w:pStyle w:val="NormalWeb"/>
                        <w:spacing w:before="0" w:beforeAutospacing="0" w:after="0" w:afterAutospacing="0"/>
                        <w:jc w:val="center"/>
                      </w:pPr>
                      <w:r>
                        <w:rPr>
                          <w:rFonts w:asciiTheme="minorHAnsi" w:hAnsi="Calibri" w:cstheme="minorBidi"/>
                          <w:color w:val="FFFFFF" w:themeColor="background1"/>
                          <w:kern w:val="24"/>
                        </w:rPr>
                        <w:t>Triple Licence Application Fee</w:t>
                      </w:r>
                    </w:p>
                  </w:txbxContent>
                </v:textbox>
              </v:rect>
            </w:pict>
          </mc:Fallback>
        </mc:AlternateContent>
      </w:r>
      <w:r>
        <w:rPr>
          <w:noProof/>
          <w:lang w:eastAsia="en-AU"/>
        </w:rPr>
        <mc:AlternateContent>
          <mc:Choice Requires="wps">
            <w:drawing>
              <wp:anchor distT="0" distB="0" distL="114300" distR="114300" simplePos="0" relativeHeight="251691008" behindDoc="0" locked="0" layoutInCell="1" allowOverlap="1" wp14:anchorId="674931AC" wp14:editId="7E038D8A">
                <wp:simplePos x="0" y="0"/>
                <wp:positionH relativeFrom="column">
                  <wp:posOffset>2247900</wp:posOffset>
                </wp:positionH>
                <wp:positionV relativeFrom="paragraph">
                  <wp:posOffset>4524375</wp:posOffset>
                </wp:positionV>
                <wp:extent cx="1619885" cy="460375"/>
                <wp:effectExtent l="0" t="0" r="18415" b="15875"/>
                <wp:wrapNone/>
                <wp:docPr id="8" name="Rectangle 37"/>
                <wp:cNvGraphicFramePr/>
                <a:graphic xmlns:a="http://schemas.openxmlformats.org/drawingml/2006/main">
                  <a:graphicData uri="http://schemas.microsoft.com/office/word/2010/wordprocessingShape">
                    <wps:wsp>
                      <wps:cNvSpPr/>
                      <wps:spPr>
                        <a:xfrm>
                          <a:off x="0" y="0"/>
                          <a:ext cx="1619885" cy="460375"/>
                        </a:xfrm>
                        <a:prstGeom prst="rect">
                          <a:avLst/>
                        </a:prstGeom>
                        <a:solidFill>
                          <a:srgbClr val="5B9BD5"/>
                        </a:solidFill>
                        <a:ln w="12700" cap="flat" cmpd="sng" algn="ctr">
                          <a:solidFill>
                            <a:srgbClr val="5B9BD5"/>
                          </a:solidFill>
                          <a:prstDash val="solid"/>
                          <a:miter lim="800000"/>
                        </a:ln>
                        <a:effectLst/>
                      </wps:spPr>
                      <wps:txbx>
                        <w:txbxContent>
                          <w:p w:rsidR="001B2D99" w:rsidRPr="006157AC" w:rsidRDefault="001B2D99" w:rsidP="00FB5F97">
                            <w:pPr>
                              <w:pStyle w:val="NormalWeb"/>
                              <w:spacing w:before="0" w:beforeAutospacing="0" w:after="0" w:afterAutospacing="0"/>
                              <w:jc w:val="center"/>
                              <w:rPr>
                                <w:color w:val="FFFFFF" w:themeColor="background1"/>
                              </w:rPr>
                            </w:pPr>
                            <w:r>
                              <w:rPr>
                                <w:rFonts w:asciiTheme="minorHAnsi" w:hAnsi="Calibri" w:cstheme="minorBidi"/>
                                <w:color w:val="FFFFFF" w:themeColor="background1"/>
                                <w:kern w:val="24"/>
                              </w:rPr>
                              <w:t>Annual Site Charge</w:t>
                            </w:r>
                          </w:p>
                        </w:txbxContent>
                      </wps:txbx>
                      <wps:bodyPr rtlCol="0" anchor="ctr"/>
                    </wps:wsp>
                  </a:graphicData>
                </a:graphic>
              </wp:anchor>
            </w:drawing>
          </mc:Choice>
          <mc:Fallback>
            <w:pict>
              <v:rect w14:anchorId="674931AC" id="_x0000_s1041" style="position:absolute;margin-left:177pt;margin-top:356.25pt;width:127.55pt;height:36.2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" fillcolor="#5b9bd5" strokecolor="#5b9bd5" strokeweight="1pt">
                <v:textbox>
                  <w:txbxContent>
                    <w:p w:rsidR="001B2D99" w:rsidRPr="006157AC" w:rsidRDefault="001B2D99" w:rsidP="00FB5F97">
                      <w:pPr>
                        <w:pStyle w:val="NormalWeb"/>
                        <w:spacing w:before="0" w:beforeAutospacing="0" w:after="0" w:afterAutospacing="0"/>
                        <w:jc w:val="center"/>
                        <w:rPr>
                          <w:color w:val="FFFFFF" w:themeColor="background1"/>
                        </w:rPr>
                      </w:pPr>
                      <w:r>
                        <w:rPr>
                          <w:rFonts w:asciiTheme="minorHAnsi" w:hAnsi="Calibri" w:cstheme="minorBidi"/>
                          <w:color w:val="FFFFFF" w:themeColor="background1"/>
                          <w:kern w:val="24"/>
                        </w:rPr>
                        <w:t>Annual Site Charge</w:t>
                      </w:r>
                    </w:p>
                  </w:txbxContent>
                </v:textbox>
              </v:rect>
            </w:pict>
          </mc:Fallback>
        </mc:AlternateContent>
      </w:r>
      <w:r w:rsidRPr="00F365D1">
        <w:rPr>
          <w:noProof/>
          <w:lang w:eastAsia="en-AU"/>
        </w:rPr>
        <mc:AlternateContent>
          <mc:Choice Requires="wps">
            <w:drawing>
              <wp:anchor distT="0" distB="0" distL="114300" distR="114300" simplePos="0" relativeHeight="251697152" behindDoc="0" locked="0" layoutInCell="1" allowOverlap="1" wp14:anchorId="5444379C" wp14:editId="58163702">
                <wp:simplePos x="0" y="0"/>
                <wp:positionH relativeFrom="column">
                  <wp:posOffset>4051935</wp:posOffset>
                </wp:positionH>
                <wp:positionV relativeFrom="paragraph">
                  <wp:posOffset>3966845</wp:posOffset>
                </wp:positionV>
                <wp:extent cx="1619885" cy="460375"/>
                <wp:effectExtent l="0" t="0" r="18415" b="15875"/>
                <wp:wrapNone/>
                <wp:docPr id="39" name="Rectangle 38"/>
                <wp:cNvGraphicFramePr/>
                <a:graphic xmlns:a="http://schemas.openxmlformats.org/drawingml/2006/main">
                  <a:graphicData uri="http://schemas.microsoft.com/office/word/2010/wordprocessingShape">
                    <wps:wsp>
                      <wps:cNvSpPr/>
                      <wps:spPr>
                        <a:xfrm>
                          <a:off x="0" y="0"/>
                          <a:ext cx="1619885" cy="460375"/>
                        </a:xfrm>
                        <a:prstGeom prst="rect">
                          <a:avLst/>
                        </a:prstGeom>
                        <a:solidFill>
                          <a:srgbClr val="5B9BD5"/>
                        </a:solidFill>
                        <a:ln>
                          <a:solidFill>
                            <a:srgbClr val="5B9BD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B2D99" w:rsidRDefault="001B2D99" w:rsidP="00FB5F97">
                            <w:pPr>
                              <w:pStyle w:val="NormalWeb"/>
                              <w:spacing w:before="0" w:beforeAutospacing="0" w:after="0" w:afterAutospacing="0"/>
                              <w:jc w:val="center"/>
                            </w:pPr>
                            <w:r>
                              <w:rPr>
                                <w:rFonts w:asciiTheme="minorHAnsi" w:hAnsi="Calibri" w:cstheme="minorBidi"/>
                                <w:color w:val="FFFFFF" w:themeColor="background1"/>
                                <w:kern w:val="24"/>
                              </w:rPr>
                              <w:t>Follow-up audit</w:t>
                            </w:r>
                          </w:p>
                        </w:txbxContent>
                      </wps:txbx>
                      <wps:bodyPr rtlCol="0" anchor="ctr"/>
                    </wps:wsp>
                  </a:graphicData>
                </a:graphic>
              </wp:anchor>
            </w:drawing>
          </mc:Choice>
          <mc:Fallback>
            <w:pict>
              <v:rect w14:anchorId="5444379C" id="Rectangle 38" o:spid="_x0000_s1042" style="position:absolute;margin-left:319.05pt;margin-top:312.35pt;width:127.55pt;height:36.2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" fillcolor="#5b9bd5" strokecolor="#5b9bd5" strokeweight="2pt">
                <v:textbox>
                  <w:txbxContent>
                    <w:p w:rsidR="001B2D99" w:rsidRDefault="001B2D99" w:rsidP="00FB5F97">
                      <w:pPr>
                        <w:pStyle w:val="NormalWeb"/>
                        <w:spacing w:before="0" w:beforeAutospacing="0" w:after="0" w:afterAutospacing="0"/>
                        <w:jc w:val="center"/>
                      </w:pPr>
                      <w:r>
                        <w:rPr>
                          <w:rFonts w:asciiTheme="minorHAnsi" w:hAnsi="Calibri" w:cstheme="minorBidi"/>
                          <w:color w:val="FFFFFF" w:themeColor="background1"/>
                          <w:kern w:val="24"/>
                        </w:rPr>
                        <w:t>Follow-up audit</w:t>
                      </w:r>
                    </w:p>
                  </w:txbxContent>
                </v:textbox>
              </v:rect>
            </w:pict>
          </mc:Fallback>
        </mc:AlternateContent>
      </w:r>
      <w:r w:rsidRPr="00F365D1">
        <w:rPr>
          <w:noProof/>
          <w:lang w:eastAsia="en-AU"/>
        </w:rPr>
        <mc:AlternateContent>
          <mc:Choice Requires="wps">
            <w:drawing>
              <wp:anchor distT="0" distB="0" distL="114300" distR="114300" simplePos="0" relativeHeight="251703296" behindDoc="0" locked="0" layoutInCell="1" allowOverlap="1" wp14:anchorId="5B52B6AF" wp14:editId="0F3736F6">
                <wp:simplePos x="0" y="0"/>
                <wp:positionH relativeFrom="column">
                  <wp:posOffset>4051935</wp:posOffset>
                </wp:positionH>
                <wp:positionV relativeFrom="paragraph">
                  <wp:posOffset>4528820</wp:posOffset>
                </wp:positionV>
                <wp:extent cx="1619885" cy="460375"/>
                <wp:effectExtent l="0" t="0" r="18415" b="15875"/>
                <wp:wrapNone/>
                <wp:docPr id="41" name="Rectangle 40"/>
                <wp:cNvGraphicFramePr/>
                <a:graphic xmlns:a="http://schemas.openxmlformats.org/drawingml/2006/main">
                  <a:graphicData uri="http://schemas.microsoft.com/office/word/2010/wordprocessingShape">
                    <wps:wsp>
                      <wps:cNvSpPr/>
                      <wps:spPr>
                        <a:xfrm>
                          <a:off x="0" y="0"/>
                          <a:ext cx="1619885" cy="460375"/>
                        </a:xfrm>
                        <a:prstGeom prst="rect">
                          <a:avLst/>
                        </a:prstGeom>
                        <a:solidFill>
                          <a:srgbClr val="5B9BD5"/>
                        </a:solidFill>
                        <a:ln>
                          <a:solidFill>
                            <a:srgbClr val="5B9BD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B2D99" w:rsidRDefault="001B2D99" w:rsidP="00FB5F97">
                            <w:pPr>
                              <w:pStyle w:val="NormalWeb"/>
                              <w:spacing w:before="0" w:beforeAutospacing="0" w:after="0" w:afterAutospacing="0"/>
                              <w:jc w:val="center"/>
                            </w:pPr>
                            <w:r>
                              <w:rPr>
                                <w:rFonts w:asciiTheme="minorHAnsi" w:hAnsi="Calibri" w:cstheme="minorBidi"/>
                                <w:color w:val="FFFFFF" w:themeColor="background1"/>
                                <w:kern w:val="24"/>
                              </w:rPr>
                              <w:t>Follow-up Inspection</w:t>
                            </w:r>
                          </w:p>
                        </w:txbxContent>
                      </wps:txbx>
                      <wps:bodyPr rtlCol="0" anchor="ctr"/>
                    </wps:wsp>
                  </a:graphicData>
                </a:graphic>
              </wp:anchor>
            </w:drawing>
          </mc:Choice>
          <mc:Fallback>
            <w:pict>
              <v:rect w14:anchorId="5B52B6AF" id="Rectangle 40" o:spid="_x0000_s1043" style="position:absolute;margin-left:319.05pt;margin-top:356.6pt;width:127.55pt;height:36.2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" fillcolor="#5b9bd5" strokecolor="#5b9bd5" strokeweight="2pt">
                <v:textbox>
                  <w:txbxContent>
                    <w:p w:rsidR="001B2D99" w:rsidRDefault="001B2D99" w:rsidP="00FB5F97">
                      <w:pPr>
                        <w:pStyle w:val="NormalWeb"/>
                        <w:spacing w:before="0" w:beforeAutospacing="0" w:after="0" w:afterAutospacing="0"/>
                        <w:jc w:val="center"/>
                      </w:pPr>
                      <w:r>
                        <w:rPr>
                          <w:rFonts w:asciiTheme="minorHAnsi" w:hAnsi="Calibri" w:cstheme="minorBidi"/>
                          <w:color w:val="FFFFFF" w:themeColor="background1"/>
                          <w:kern w:val="24"/>
                        </w:rPr>
                        <w:t>Follow-up Inspection</w:t>
                      </w:r>
                    </w:p>
                  </w:txbxContent>
                </v:textbox>
              </v:rect>
            </w:pict>
          </mc:Fallback>
        </mc:AlternateContent>
      </w:r>
      <w:r w:rsidRPr="00F365D1">
        <w:rPr>
          <w:noProof/>
          <w:lang w:eastAsia="en-AU"/>
        </w:rPr>
        <mc:AlternateContent>
          <mc:Choice Requires="wps">
            <w:drawing>
              <wp:anchor distT="0" distB="0" distL="114300" distR="114300" simplePos="0" relativeHeight="251709440" behindDoc="0" locked="0" layoutInCell="1" allowOverlap="1" wp14:anchorId="6040219A" wp14:editId="17560D8E">
                <wp:simplePos x="0" y="0"/>
                <wp:positionH relativeFrom="column">
                  <wp:posOffset>4051935</wp:posOffset>
                </wp:positionH>
                <wp:positionV relativeFrom="paragraph">
                  <wp:posOffset>5119370</wp:posOffset>
                </wp:positionV>
                <wp:extent cx="1619885" cy="460375"/>
                <wp:effectExtent l="0" t="0" r="18415" b="15875"/>
                <wp:wrapNone/>
                <wp:docPr id="42" name="Rectangle 41"/>
                <wp:cNvGraphicFramePr/>
                <a:graphic xmlns:a="http://schemas.openxmlformats.org/drawingml/2006/main">
                  <a:graphicData uri="http://schemas.microsoft.com/office/word/2010/wordprocessingShape">
                    <wps:wsp>
                      <wps:cNvSpPr/>
                      <wps:spPr>
                        <a:xfrm>
                          <a:off x="0" y="0"/>
                          <a:ext cx="1619885" cy="460375"/>
                        </a:xfrm>
                        <a:prstGeom prst="rect">
                          <a:avLst/>
                        </a:prstGeom>
                        <a:solidFill>
                          <a:srgbClr val="5B9BD5"/>
                        </a:solidFill>
                        <a:ln>
                          <a:solidFill>
                            <a:srgbClr val="5B9BD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B2D99" w:rsidRDefault="001B2D99" w:rsidP="00FB5F97">
                            <w:pPr>
                              <w:pStyle w:val="NormalWeb"/>
                              <w:spacing w:before="0" w:beforeAutospacing="0" w:after="0" w:afterAutospacing="0"/>
                              <w:jc w:val="center"/>
                            </w:pPr>
                            <w:r>
                              <w:rPr>
                                <w:rFonts w:asciiTheme="minorHAnsi" w:hAnsi="Calibri" w:cstheme="minorBidi"/>
                                <w:color w:val="FFFFFF" w:themeColor="background1"/>
                                <w:kern w:val="24"/>
                              </w:rPr>
                              <w:t>Follow-up sampling assessment</w:t>
                            </w:r>
                          </w:p>
                        </w:txbxContent>
                      </wps:txbx>
                      <wps:bodyPr rtlCol="0" anchor="ctr"/>
                    </wps:wsp>
                  </a:graphicData>
                </a:graphic>
              </wp:anchor>
            </w:drawing>
          </mc:Choice>
          <mc:Fallback>
            <w:pict>
              <v:rect w14:anchorId="6040219A" id="Rectangle 41" o:spid="_x0000_s1044" style="position:absolute;margin-left:319.05pt;margin-top:403.1pt;width:127.55pt;height:36.2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" fillcolor="#5b9bd5" strokecolor="#5b9bd5" strokeweight="2pt">
                <v:textbox>
                  <w:txbxContent>
                    <w:p w:rsidR="001B2D99" w:rsidRDefault="001B2D99" w:rsidP="00FB5F97">
                      <w:pPr>
                        <w:pStyle w:val="NormalWeb"/>
                        <w:spacing w:before="0" w:beforeAutospacing="0" w:after="0" w:afterAutospacing="0"/>
                        <w:jc w:val="center"/>
                      </w:pPr>
                      <w:r>
                        <w:rPr>
                          <w:rFonts w:asciiTheme="minorHAnsi" w:hAnsi="Calibri" w:cstheme="minorBidi"/>
                          <w:color w:val="FFFFFF" w:themeColor="background1"/>
                          <w:kern w:val="24"/>
                        </w:rPr>
                        <w:t>Follow-up sampling assessment</w:t>
                      </w:r>
                    </w:p>
                  </w:txbxContent>
                </v:textbox>
              </v:rect>
            </w:pict>
          </mc:Fallback>
        </mc:AlternateContent>
      </w:r>
      <w:r w:rsidRPr="00F365D1">
        <w:rPr>
          <w:noProof/>
          <w:lang w:eastAsia="en-AU"/>
        </w:rPr>
        <mc:AlternateContent>
          <mc:Choice Requires="wps">
            <w:drawing>
              <wp:anchor distT="0" distB="0" distL="114300" distR="114300" simplePos="0" relativeHeight="251734016" behindDoc="0" locked="0" layoutInCell="1" allowOverlap="1" wp14:anchorId="438FD0CE" wp14:editId="7F4A4B85">
                <wp:simplePos x="0" y="0"/>
                <wp:positionH relativeFrom="column">
                  <wp:posOffset>5885815</wp:posOffset>
                </wp:positionH>
                <wp:positionV relativeFrom="paragraph">
                  <wp:posOffset>3962400</wp:posOffset>
                </wp:positionV>
                <wp:extent cx="1619885" cy="460375"/>
                <wp:effectExtent l="0" t="0" r="18415" b="15875"/>
                <wp:wrapNone/>
                <wp:docPr id="5" name="Rectangle 38"/>
                <wp:cNvGraphicFramePr/>
                <a:graphic xmlns:a="http://schemas.openxmlformats.org/drawingml/2006/main">
                  <a:graphicData uri="http://schemas.microsoft.com/office/word/2010/wordprocessingShape">
                    <wps:wsp>
                      <wps:cNvSpPr/>
                      <wps:spPr>
                        <a:xfrm>
                          <a:off x="0" y="0"/>
                          <a:ext cx="1619885" cy="460375"/>
                        </a:xfrm>
                        <a:prstGeom prst="rect">
                          <a:avLst/>
                        </a:prstGeom>
                        <a:solidFill>
                          <a:srgbClr val="5B9BD5"/>
                        </a:solidFill>
                        <a:ln w="12700" cap="flat" cmpd="sng" algn="ctr">
                          <a:solidFill>
                            <a:srgbClr val="5B9BD5"/>
                          </a:solidFill>
                          <a:prstDash val="solid"/>
                          <a:miter lim="800000"/>
                        </a:ln>
                        <a:effectLst/>
                      </wps:spPr>
                      <wps:txbx>
                        <w:txbxContent>
                          <w:p w:rsidR="001B2D99" w:rsidRPr="006157AC" w:rsidRDefault="001B2D99" w:rsidP="00FB5F97">
                            <w:pPr>
                              <w:pStyle w:val="NormalWeb"/>
                              <w:spacing w:before="0" w:beforeAutospacing="0" w:after="0" w:afterAutospacing="0"/>
                              <w:jc w:val="center"/>
                              <w:rPr>
                                <w:color w:val="FFFFFF" w:themeColor="background1"/>
                              </w:rPr>
                            </w:pPr>
                            <w:r>
                              <w:rPr>
                                <w:rFonts w:asciiTheme="minorHAnsi" w:hAnsi="Calibri" w:cstheme="minorBidi"/>
                                <w:color w:val="FFFFFF" w:themeColor="background1"/>
                                <w:kern w:val="24"/>
                              </w:rPr>
                              <w:t>Investigation</w:t>
                            </w:r>
                          </w:p>
                        </w:txbxContent>
                      </wps:txbx>
                      <wps:bodyPr rtlCol="0" anchor="ctr"/>
                    </wps:wsp>
                  </a:graphicData>
                </a:graphic>
              </wp:anchor>
            </w:drawing>
          </mc:Choice>
          <mc:Fallback>
            <w:pict>
              <v:rect w14:anchorId="438FD0CE" id="_x0000_s1045" style="position:absolute;margin-left:463.45pt;margin-top:312pt;width:127.55pt;height:36.2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" fillcolor="#5b9bd5" strokecolor="#5b9bd5" strokeweight="1pt">
                <v:textbox>
                  <w:txbxContent>
                    <w:p w:rsidR="001B2D99" w:rsidRPr="006157AC" w:rsidRDefault="001B2D99" w:rsidP="00FB5F97">
                      <w:pPr>
                        <w:pStyle w:val="NormalWeb"/>
                        <w:spacing w:before="0" w:beforeAutospacing="0" w:after="0" w:afterAutospacing="0"/>
                        <w:jc w:val="center"/>
                        <w:rPr>
                          <w:color w:val="FFFFFF" w:themeColor="background1"/>
                        </w:rPr>
                      </w:pPr>
                      <w:r>
                        <w:rPr>
                          <w:rFonts w:asciiTheme="minorHAnsi" w:hAnsi="Calibri" w:cstheme="minorBidi"/>
                          <w:color w:val="FFFFFF" w:themeColor="background1"/>
                          <w:kern w:val="24"/>
                        </w:rPr>
                        <w:t>Investigation</w:t>
                      </w:r>
                    </w:p>
                  </w:txbxContent>
                </v:textbox>
              </v:rect>
            </w:pict>
          </mc:Fallback>
        </mc:AlternateContent>
      </w:r>
      <w:r w:rsidRPr="00F365D1">
        <w:rPr>
          <w:noProof/>
          <w:lang w:eastAsia="en-AU"/>
        </w:rPr>
        <mc:AlternateContent>
          <mc:Choice Requires="wps">
            <w:drawing>
              <wp:anchor distT="0" distB="0" distL="114300" distR="114300" simplePos="0" relativeHeight="251746304" behindDoc="0" locked="0" layoutInCell="1" allowOverlap="1" wp14:anchorId="4B5C29A1" wp14:editId="29B5EE9D">
                <wp:simplePos x="0" y="0"/>
                <wp:positionH relativeFrom="column">
                  <wp:posOffset>5886450</wp:posOffset>
                </wp:positionH>
                <wp:positionV relativeFrom="paragraph">
                  <wp:posOffset>5114925</wp:posOffset>
                </wp:positionV>
                <wp:extent cx="1619885" cy="460375"/>
                <wp:effectExtent l="0" t="0" r="18415" b="15875"/>
                <wp:wrapNone/>
                <wp:docPr id="3" name="Rectangle 41"/>
                <wp:cNvGraphicFramePr/>
                <a:graphic xmlns:a="http://schemas.openxmlformats.org/drawingml/2006/main">
                  <a:graphicData uri="http://schemas.microsoft.com/office/word/2010/wordprocessingShape">
                    <wps:wsp>
                      <wps:cNvSpPr/>
                      <wps:spPr>
                        <a:xfrm>
                          <a:off x="0" y="0"/>
                          <a:ext cx="1619885" cy="460375"/>
                        </a:xfrm>
                        <a:prstGeom prst="rect">
                          <a:avLst/>
                        </a:prstGeom>
                        <a:solidFill>
                          <a:srgbClr val="5B9BD5"/>
                        </a:solidFill>
                        <a:ln w="12700" cap="flat" cmpd="sng" algn="ctr">
                          <a:solidFill>
                            <a:srgbClr val="5B9BD5"/>
                          </a:solidFill>
                          <a:prstDash val="solid"/>
                          <a:miter lim="800000"/>
                        </a:ln>
                        <a:effectLst/>
                      </wps:spPr>
                      <wps:txbx>
                        <w:txbxContent>
                          <w:p w:rsidR="001B2D99" w:rsidRPr="006157AC" w:rsidRDefault="001B2D99" w:rsidP="00FB5F97">
                            <w:pPr>
                              <w:pStyle w:val="NormalWeb"/>
                              <w:spacing w:before="0" w:beforeAutospacing="0" w:after="0" w:afterAutospacing="0"/>
                              <w:jc w:val="center"/>
                              <w:rPr>
                                <w:color w:val="FFFFFF" w:themeColor="background1"/>
                              </w:rPr>
                            </w:pPr>
                            <w:r>
                              <w:rPr>
                                <w:rFonts w:asciiTheme="minorHAnsi" w:hAnsi="Calibri" w:cstheme="minorBidi"/>
                                <w:color w:val="FFFFFF" w:themeColor="background1"/>
                                <w:kern w:val="24"/>
                              </w:rPr>
                              <w:t>Investigation sampling assessment</w:t>
                            </w:r>
                          </w:p>
                        </w:txbxContent>
                      </wps:txbx>
                      <wps:bodyPr rtlCol="0" anchor="ctr"/>
                    </wps:wsp>
                  </a:graphicData>
                </a:graphic>
              </wp:anchor>
            </w:drawing>
          </mc:Choice>
          <mc:Fallback>
            <w:pict>
              <v:rect w14:anchorId="4B5C29A1" id="_x0000_s1046" style="position:absolute;margin-left:463.5pt;margin-top:402.75pt;width:127.55pt;height:36.25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" fillcolor="#5b9bd5" strokecolor="#5b9bd5" strokeweight="1pt">
                <v:textbox>
                  <w:txbxContent>
                    <w:p w:rsidR="001B2D99" w:rsidRPr="006157AC" w:rsidRDefault="001B2D99" w:rsidP="00FB5F97">
                      <w:pPr>
                        <w:pStyle w:val="NormalWeb"/>
                        <w:spacing w:before="0" w:beforeAutospacing="0" w:after="0" w:afterAutospacing="0"/>
                        <w:jc w:val="center"/>
                        <w:rPr>
                          <w:color w:val="FFFFFF" w:themeColor="background1"/>
                        </w:rPr>
                      </w:pPr>
                      <w:r>
                        <w:rPr>
                          <w:rFonts w:asciiTheme="minorHAnsi" w:hAnsi="Calibri" w:cstheme="minorBidi"/>
                          <w:color w:val="FFFFFF" w:themeColor="background1"/>
                          <w:kern w:val="24"/>
                        </w:rPr>
                        <w:t>Investigation sampling assessment</w:t>
                      </w:r>
                    </w:p>
                  </w:txbxContent>
                </v:textbox>
              </v:rect>
            </w:pict>
          </mc:Fallback>
        </mc:AlternateContent>
      </w:r>
      <w:r w:rsidRPr="00F365D1">
        <w:rPr>
          <w:noProof/>
          <w:lang w:eastAsia="en-AU"/>
        </w:rPr>
        <mc:AlternateContent>
          <mc:Choice Requires="wps">
            <w:drawing>
              <wp:anchor distT="0" distB="0" distL="114300" distR="114300" simplePos="0" relativeHeight="251715584" behindDoc="0" locked="0" layoutInCell="1" allowOverlap="1" wp14:anchorId="37D06408" wp14:editId="509A5282">
                <wp:simplePos x="0" y="0"/>
                <wp:positionH relativeFrom="column">
                  <wp:posOffset>7747635</wp:posOffset>
                </wp:positionH>
                <wp:positionV relativeFrom="paragraph">
                  <wp:posOffset>3970020</wp:posOffset>
                </wp:positionV>
                <wp:extent cx="1619885" cy="460375"/>
                <wp:effectExtent l="0" t="0" r="18415" b="15875"/>
                <wp:wrapNone/>
                <wp:docPr id="33" name="Rectangle 32"/>
                <wp:cNvGraphicFramePr/>
                <a:graphic xmlns:a="http://schemas.openxmlformats.org/drawingml/2006/main">
                  <a:graphicData uri="http://schemas.microsoft.com/office/word/2010/wordprocessingShape">
                    <wps:wsp>
                      <wps:cNvSpPr/>
                      <wps:spPr>
                        <a:xfrm>
                          <a:off x="0" y="0"/>
                          <a:ext cx="1619885" cy="460375"/>
                        </a:xfrm>
                        <a:prstGeom prst="rect">
                          <a:avLst/>
                        </a:prstGeom>
                        <a:solidFill>
                          <a:srgbClr val="5B9BD5"/>
                        </a:solidFill>
                        <a:ln>
                          <a:solidFill>
                            <a:srgbClr val="5B9BD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B2D99" w:rsidRDefault="001B2D99" w:rsidP="00FB5F97">
                            <w:pPr>
                              <w:pStyle w:val="NormalWeb"/>
                              <w:spacing w:before="0" w:beforeAutospacing="0" w:after="0" w:afterAutospacing="0"/>
                              <w:jc w:val="center"/>
                            </w:pPr>
                            <w:r>
                              <w:rPr>
                                <w:rFonts w:asciiTheme="minorHAnsi" w:hAnsi="Calibri" w:cstheme="minorBidi"/>
                                <w:color w:val="FFFFFF" w:themeColor="background1"/>
                                <w:kern w:val="24"/>
                              </w:rPr>
                              <w:t xml:space="preserve">Enforcement Action </w:t>
                            </w:r>
                            <w:r>
                              <w:rPr>
                                <w:rFonts w:asciiTheme="minorHAnsi" w:hAnsi="Calibri" w:cstheme="minorBidi"/>
                                <w:color w:val="FFFFFF" w:themeColor="background1"/>
                                <w:kern w:val="24"/>
                              </w:rPr>
                              <w:t>–</w:t>
                            </w:r>
                            <w:r>
                              <w:rPr>
                                <w:rFonts w:asciiTheme="minorHAnsi" w:hAnsi="Calibri" w:cstheme="minorBidi"/>
                                <w:color w:val="FFFFFF" w:themeColor="background1"/>
                                <w:kern w:val="24"/>
                              </w:rPr>
                              <w:t xml:space="preserve"> Minor </w:t>
                            </w:r>
                          </w:p>
                        </w:txbxContent>
                      </wps:txbx>
                      <wps:bodyPr rtlCol="0" anchor="ctr"/>
                    </wps:wsp>
                  </a:graphicData>
                </a:graphic>
              </wp:anchor>
            </w:drawing>
          </mc:Choice>
          <mc:Fallback>
            <w:pict>
              <v:rect w14:anchorId="37D06408" id="Rectangle 32" o:spid="_x0000_s1047" style="position:absolute;margin-left:610.05pt;margin-top:312.6pt;width:127.55pt;height:36.2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" fillcolor="#5b9bd5" strokecolor="#5b9bd5" strokeweight="2pt">
                <v:textbox>
                  <w:txbxContent>
                    <w:p w:rsidR="001B2D99" w:rsidRDefault="001B2D99" w:rsidP="00FB5F97">
                      <w:pPr>
                        <w:pStyle w:val="NormalWeb"/>
                        <w:spacing w:before="0" w:beforeAutospacing="0" w:after="0" w:afterAutospacing="0"/>
                        <w:jc w:val="center"/>
                      </w:pPr>
                      <w:r>
                        <w:rPr>
                          <w:rFonts w:asciiTheme="minorHAnsi" w:hAnsi="Calibri" w:cstheme="minorBidi"/>
                          <w:color w:val="FFFFFF" w:themeColor="background1"/>
                          <w:kern w:val="24"/>
                        </w:rPr>
                        <w:t xml:space="preserve">Enforcement Action </w:t>
                      </w:r>
                      <w:r>
                        <w:rPr>
                          <w:rFonts w:asciiTheme="minorHAnsi" w:hAnsi="Calibri" w:cstheme="minorBidi"/>
                          <w:color w:val="FFFFFF" w:themeColor="background1"/>
                          <w:kern w:val="24"/>
                        </w:rPr>
                        <w:t>–</w:t>
                      </w:r>
                      <w:r>
                        <w:rPr>
                          <w:rFonts w:asciiTheme="minorHAnsi" w:hAnsi="Calibri" w:cstheme="minorBidi"/>
                          <w:color w:val="FFFFFF" w:themeColor="background1"/>
                          <w:kern w:val="24"/>
                        </w:rPr>
                        <w:t xml:space="preserve"> Minor </w:t>
                      </w:r>
                    </w:p>
                  </w:txbxContent>
                </v:textbox>
              </v:rect>
            </w:pict>
          </mc:Fallback>
        </mc:AlternateContent>
      </w:r>
      <w:r w:rsidRPr="00F365D1">
        <w:rPr>
          <w:noProof/>
          <w:lang w:eastAsia="en-AU"/>
        </w:rPr>
        <mc:AlternateContent>
          <mc:Choice Requires="wps">
            <w:drawing>
              <wp:anchor distT="0" distB="0" distL="114300" distR="114300" simplePos="0" relativeHeight="251727872" behindDoc="0" locked="0" layoutInCell="1" allowOverlap="1" wp14:anchorId="16D53ABE" wp14:editId="0D3B5249">
                <wp:simplePos x="0" y="0"/>
                <wp:positionH relativeFrom="column">
                  <wp:posOffset>7747635</wp:posOffset>
                </wp:positionH>
                <wp:positionV relativeFrom="paragraph">
                  <wp:posOffset>5119370</wp:posOffset>
                </wp:positionV>
                <wp:extent cx="1619885" cy="460375"/>
                <wp:effectExtent l="0" t="0" r="18415" b="15875"/>
                <wp:wrapNone/>
                <wp:docPr id="35" name="Rectangle 34"/>
                <wp:cNvGraphicFramePr/>
                <a:graphic xmlns:a="http://schemas.openxmlformats.org/drawingml/2006/main">
                  <a:graphicData uri="http://schemas.microsoft.com/office/word/2010/wordprocessingShape">
                    <wps:wsp>
                      <wps:cNvSpPr/>
                      <wps:spPr>
                        <a:xfrm>
                          <a:off x="0" y="0"/>
                          <a:ext cx="1619885" cy="460375"/>
                        </a:xfrm>
                        <a:prstGeom prst="rect">
                          <a:avLst/>
                        </a:prstGeom>
                        <a:solidFill>
                          <a:srgbClr val="5B9BD5"/>
                        </a:solidFill>
                        <a:ln>
                          <a:solidFill>
                            <a:srgbClr val="5B9BD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B2D99" w:rsidRDefault="001B2D99" w:rsidP="00FB5F97">
                            <w:pPr>
                              <w:pStyle w:val="NormalWeb"/>
                              <w:spacing w:before="0" w:beforeAutospacing="0" w:after="0" w:afterAutospacing="0"/>
                              <w:jc w:val="center"/>
                            </w:pPr>
                            <w:r>
                              <w:rPr>
                                <w:rFonts w:asciiTheme="minorHAnsi" w:hAnsi="Calibri" w:cstheme="minorBidi"/>
                                <w:color w:val="FFFFFF" w:themeColor="background1"/>
                                <w:kern w:val="24"/>
                              </w:rPr>
                              <w:t xml:space="preserve">Enforcement Action </w:t>
                            </w:r>
                            <w:r>
                              <w:rPr>
                                <w:rFonts w:asciiTheme="minorHAnsi" w:hAnsi="Calibri" w:cstheme="minorBidi"/>
                                <w:color w:val="FFFFFF" w:themeColor="background1"/>
                                <w:kern w:val="24"/>
                              </w:rPr>
                              <w:t>–</w:t>
                            </w:r>
                            <w:r>
                              <w:rPr>
                                <w:rFonts w:asciiTheme="minorHAnsi" w:hAnsi="Calibri" w:cstheme="minorBidi"/>
                                <w:color w:val="FFFFFF" w:themeColor="background1"/>
                                <w:kern w:val="24"/>
                              </w:rPr>
                              <w:t xml:space="preserve"> Major </w:t>
                            </w:r>
                          </w:p>
                        </w:txbxContent>
                      </wps:txbx>
                      <wps:bodyPr rtlCol="0" anchor="ctr"/>
                    </wps:wsp>
                  </a:graphicData>
                </a:graphic>
              </wp:anchor>
            </w:drawing>
          </mc:Choice>
          <mc:Fallback>
            <w:pict>
              <v:rect w14:anchorId="16D53ABE" id="Rectangle 34" o:spid="_x0000_s1048" style="position:absolute;margin-left:610.05pt;margin-top:403.1pt;width:127.55pt;height:36.2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" fillcolor="#5b9bd5" strokecolor="#5b9bd5" strokeweight="2pt">
                <v:textbox>
                  <w:txbxContent>
                    <w:p w:rsidR="001B2D99" w:rsidRDefault="001B2D99" w:rsidP="00FB5F97">
                      <w:pPr>
                        <w:pStyle w:val="NormalWeb"/>
                        <w:spacing w:before="0" w:beforeAutospacing="0" w:after="0" w:afterAutospacing="0"/>
                        <w:jc w:val="center"/>
                      </w:pPr>
                      <w:r>
                        <w:rPr>
                          <w:rFonts w:asciiTheme="minorHAnsi" w:hAnsi="Calibri" w:cstheme="minorBidi"/>
                          <w:color w:val="FFFFFF" w:themeColor="background1"/>
                          <w:kern w:val="24"/>
                        </w:rPr>
                        <w:t xml:space="preserve">Enforcement Action </w:t>
                      </w:r>
                      <w:r>
                        <w:rPr>
                          <w:rFonts w:asciiTheme="minorHAnsi" w:hAnsi="Calibri" w:cstheme="minorBidi"/>
                          <w:color w:val="FFFFFF" w:themeColor="background1"/>
                          <w:kern w:val="24"/>
                        </w:rPr>
                        <w:t>–</w:t>
                      </w:r>
                      <w:r>
                        <w:rPr>
                          <w:rFonts w:asciiTheme="minorHAnsi" w:hAnsi="Calibri" w:cstheme="minorBidi"/>
                          <w:color w:val="FFFFFF" w:themeColor="background1"/>
                          <w:kern w:val="24"/>
                        </w:rPr>
                        <w:t xml:space="preserve"> Major </w:t>
                      </w:r>
                    </w:p>
                  </w:txbxContent>
                </v:textbox>
              </v:rect>
            </w:pict>
          </mc:Fallback>
        </mc:AlternateContent>
      </w:r>
      <w:r w:rsidRPr="00F365D1">
        <w:rPr>
          <w:noProof/>
          <w:lang w:eastAsia="en-AU"/>
        </w:rPr>
        <mc:AlternateContent>
          <mc:Choice Requires="wps">
            <w:drawing>
              <wp:anchor distT="0" distB="0" distL="114300" distR="114300" simplePos="0" relativeHeight="251740160" behindDoc="0" locked="0" layoutInCell="1" allowOverlap="1" wp14:anchorId="37FC71FA" wp14:editId="6AAD5650">
                <wp:simplePos x="0" y="0"/>
                <wp:positionH relativeFrom="column">
                  <wp:posOffset>5886450</wp:posOffset>
                </wp:positionH>
                <wp:positionV relativeFrom="paragraph">
                  <wp:posOffset>4524375</wp:posOffset>
                </wp:positionV>
                <wp:extent cx="1619885" cy="460375"/>
                <wp:effectExtent l="0" t="0" r="18415" b="15875"/>
                <wp:wrapNone/>
                <wp:docPr id="2" name="Rectangle 40"/>
                <wp:cNvGraphicFramePr/>
                <a:graphic xmlns:a="http://schemas.openxmlformats.org/drawingml/2006/main">
                  <a:graphicData uri="http://schemas.microsoft.com/office/word/2010/wordprocessingShape">
                    <wps:wsp>
                      <wps:cNvSpPr/>
                      <wps:spPr>
                        <a:xfrm>
                          <a:off x="0" y="0"/>
                          <a:ext cx="1619885" cy="460375"/>
                        </a:xfrm>
                        <a:prstGeom prst="rect">
                          <a:avLst/>
                        </a:prstGeom>
                        <a:solidFill>
                          <a:srgbClr val="5B9BD5"/>
                        </a:solidFill>
                        <a:ln w="12700" cap="flat" cmpd="sng" algn="ctr">
                          <a:solidFill>
                            <a:srgbClr val="5B9BD5"/>
                          </a:solidFill>
                          <a:prstDash val="solid"/>
                          <a:miter lim="800000"/>
                        </a:ln>
                        <a:effectLst/>
                      </wps:spPr>
                      <wps:txbx>
                        <w:txbxContent>
                          <w:p w:rsidR="001B2D99" w:rsidRPr="006157AC" w:rsidRDefault="001B2D99" w:rsidP="00FB5F97">
                            <w:pPr>
                              <w:pStyle w:val="NormalWeb"/>
                              <w:spacing w:before="0" w:beforeAutospacing="0" w:after="0" w:afterAutospacing="0"/>
                              <w:jc w:val="center"/>
                              <w:rPr>
                                <w:color w:val="FFFFFF" w:themeColor="background1"/>
                              </w:rPr>
                            </w:pPr>
                            <w:r>
                              <w:rPr>
                                <w:rFonts w:asciiTheme="minorHAnsi" w:hAnsi="Calibri" w:cstheme="minorBidi"/>
                                <w:color w:val="FFFFFF" w:themeColor="background1"/>
                                <w:kern w:val="24"/>
                              </w:rPr>
                              <w:t>Investigation Inspection</w:t>
                            </w:r>
                          </w:p>
                        </w:txbxContent>
                      </wps:txbx>
                      <wps:bodyPr rtlCol="0" anchor="ctr"/>
                    </wps:wsp>
                  </a:graphicData>
                </a:graphic>
              </wp:anchor>
            </w:drawing>
          </mc:Choice>
          <mc:Fallback>
            <w:pict>
              <v:rect w14:anchorId="37FC71FA" id="_x0000_s1049" style="position:absolute;margin-left:463.5pt;margin-top:356.25pt;width:127.55pt;height:36.25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" fillcolor="#5b9bd5" strokecolor="#5b9bd5" strokeweight="1pt">
                <v:textbox>
                  <w:txbxContent>
                    <w:p w:rsidR="001B2D99" w:rsidRPr="006157AC" w:rsidRDefault="001B2D99" w:rsidP="00FB5F97">
                      <w:pPr>
                        <w:pStyle w:val="NormalWeb"/>
                        <w:spacing w:before="0" w:beforeAutospacing="0" w:after="0" w:afterAutospacing="0"/>
                        <w:jc w:val="center"/>
                        <w:rPr>
                          <w:color w:val="FFFFFF" w:themeColor="background1"/>
                        </w:rPr>
                      </w:pPr>
                      <w:r>
                        <w:rPr>
                          <w:rFonts w:asciiTheme="minorHAnsi" w:hAnsi="Calibri" w:cstheme="minorBidi"/>
                          <w:color w:val="FFFFFF" w:themeColor="background1"/>
                          <w:kern w:val="24"/>
                        </w:rPr>
                        <w:t>Investigation Inspection</w:t>
                      </w:r>
                    </w:p>
                  </w:txbxContent>
                </v:textbox>
              </v:rect>
            </w:pict>
          </mc:Fallback>
        </mc:AlternateContent>
      </w:r>
      <w:r w:rsidRPr="00F365D1">
        <w:rPr>
          <w:noProof/>
          <w:lang w:eastAsia="en-AU"/>
        </w:rPr>
        <mc:AlternateContent>
          <mc:Choice Requires="wps">
            <w:drawing>
              <wp:anchor distT="0" distB="0" distL="114300" distR="114300" simplePos="0" relativeHeight="251721728" behindDoc="0" locked="0" layoutInCell="1" allowOverlap="1" wp14:anchorId="14DDC09E" wp14:editId="1A332AC4">
                <wp:simplePos x="0" y="0"/>
                <wp:positionH relativeFrom="column">
                  <wp:posOffset>7747635</wp:posOffset>
                </wp:positionH>
                <wp:positionV relativeFrom="paragraph">
                  <wp:posOffset>4528820</wp:posOffset>
                </wp:positionV>
                <wp:extent cx="1619885" cy="460375"/>
                <wp:effectExtent l="0" t="0" r="18415" b="15875"/>
                <wp:wrapNone/>
                <wp:docPr id="34" name="Rectangle 33"/>
                <wp:cNvGraphicFramePr/>
                <a:graphic xmlns:a="http://schemas.openxmlformats.org/drawingml/2006/main">
                  <a:graphicData uri="http://schemas.microsoft.com/office/word/2010/wordprocessingShape">
                    <wps:wsp>
                      <wps:cNvSpPr/>
                      <wps:spPr>
                        <a:xfrm>
                          <a:off x="0" y="0"/>
                          <a:ext cx="1619885" cy="460375"/>
                        </a:xfrm>
                        <a:prstGeom prst="rect">
                          <a:avLst/>
                        </a:prstGeom>
                        <a:solidFill>
                          <a:srgbClr val="5B9BD5"/>
                        </a:solidFill>
                        <a:ln>
                          <a:solidFill>
                            <a:srgbClr val="5B9BD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B2D99" w:rsidRDefault="001B2D99" w:rsidP="00FB5F97">
                            <w:pPr>
                              <w:pStyle w:val="NormalWeb"/>
                              <w:spacing w:before="0" w:beforeAutospacing="0" w:after="0" w:afterAutospacing="0"/>
                              <w:jc w:val="center"/>
                            </w:pPr>
                            <w:r>
                              <w:rPr>
                                <w:rFonts w:asciiTheme="minorHAnsi" w:hAnsi="Calibri" w:cstheme="minorBidi"/>
                                <w:color w:val="FFFFFF" w:themeColor="background1"/>
                                <w:kern w:val="24"/>
                              </w:rPr>
                              <w:t xml:space="preserve">Enforcement Action </w:t>
                            </w:r>
                            <w:r>
                              <w:rPr>
                                <w:rFonts w:asciiTheme="minorHAnsi" w:hAnsi="Calibri" w:cstheme="minorBidi"/>
                                <w:color w:val="FFFFFF" w:themeColor="background1"/>
                                <w:kern w:val="24"/>
                              </w:rPr>
                              <w:t>–</w:t>
                            </w:r>
                            <w:r>
                              <w:rPr>
                                <w:rFonts w:asciiTheme="minorHAnsi" w:hAnsi="Calibri" w:cstheme="minorBidi"/>
                                <w:color w:val="FFFFFF" w:themeColor="background1"/>
                                <w:kern w:val="24"/>
                              </w:rPr>
                              <w:t xml:space="preserve"> Moderate </w:t>
                            </w:r>
                          </w:p>
                        </w:txbxContent>
                      </wps:txbx>
                      <wps:bodyPr rtlCol="0" anchor="ctr"/>
                    </wps:wsp>
                  </a:graphicData>
                </a:graphic>
              </wp:anchor>
            </w:drawing>
          </mc:Choice>
          <mc:Fallback>
            <w:pict>
              <v:rect w14:anchorId="14DDC09E" id="Rectangle 33" o:spid="_x0000_s1050" style="position:absolute;margin-left:610.05pt;margin-top:356.6pt;width:127.55pt;height:36.2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" fillcolor="#5b9bd5" strokecolor="#5b9bd5" strokeweight="2pt">
                <v:textbox>
                  <w:txbxContent>
                    <w:p w:rsidR="001B2D99" w:rsidRDefault="001B2D99" w:rsidP="00FB5F97">
                      <w:pPr>
                        <w:pStyle w:val="NormalWeb"/>
                        <w:spacing w:before="0" w:beforeAutospacing="0" w:after="0" w:afterAutospacing="0"/>
                        <w:jc w:val="center"/>
                      </w:pPr>
                      <w:r>
                        <w:rPr>
                          <w:rFonts w:asciiTheme="minorHAnsi" w:hAnsi="Calibri" w:cstheme="minorBidi"/>
                          <w:color w:val="FFFFFF" w:themeColor="background1"/>
                          <w:kern w:val="24"/>
                        </w:rPr>
                        <w:t xml:space="preserve">Enforcement Action </w:t>
                      </w:r>
                      <w:r>
                        <w:rPr>
                          <w:rFonts w:asciiTheme="minorHAnsi" w:hAnsi="Calibri" w:cstheme="minorBidi"/>
                          <w:color w:val="FFFFFF" w:themeColor="background1"/>
                          <w:kern w:val="24"/>
                        </w:rPr>
                        <w:t>–</w:t>
                      </w:r>
                      <w:r>
                        <w:rPr>
                          <w:rFonts w:asciiTheme="minorHAnsi" w:hAnsi="Calibri" w:cstheme="minorBidi"/>
                          <w:color w:val="FFFFFF" w:themeColor="background1"/>
                          <w:kern w:val="24"/>
                        </w:rPr>
                        <w:t xml:space="preserve"> Moderate </w:t>
                      </w:r>
                    </w:p>
                  </w:txbxContent>
                </v:textbox>
              </v:rect>
            </w:pict>
          </mc:Fallback>
        </mc:AlternateContent>
      </w:r>
    </w:p>
    <w:p w:rsidR="00FB5F97" w:rsidRDefault="00FB5F97" w:rsidP="00C86EFC">
      <w:pPr>
        <w:pStyle w:val="Heading2"/>
        <w:spacing w:before="0"/>
      </w:pPr>
      <w:bookmarkStart w:id="54" w:name="_Appendix_B:_Proposed"/>
      <w:bookmarkStart w:id="55" w:name="_Toc34392609"/>
      <w:bookmarkStart w:id="56" w:name="_Toc34834181"/>
      <w:bookmarkEnd w:id="54"/>
      <w:r>
        <w:lastRenderedPageBreak/>
        <w:t>Appendix B: Proposed prices of amended fees and charges</w:t>
      </w:r>
      <w:bookmarkEnd w:id="55"/>
      <w:bookmarkEnd w:id="56"/>
      <w:r>
        <w:t xml:space="preserve"> </w:t>
      </w:r>
    </w:p>
    <w:p w:rsidR="00FB5F97" w:rsidRDefault="00FB5F97" w:rsidP="00FB5F97">
      <w:r w:rsidRPr="002F2530">
        <w:t xml:space="preserve">The </w:t>
      </w:r>
      <w:r>
        <w:t xml:space="preserve">information outlined below is draft without prejudice. </w:t>
      </w:r>
      <w:r w:rsidRPr="002F2530">
        <w:t xml:space="preserve">After receiving and consolidating feedback on this paper, the Department will seek formal approval </w:t>
      </w:r>
      <w:r>
        <w:t>to change the</w:t>
      </w:r>
      <w:r w:rsidRPr="002F2530">
        <w:t xml:space="preserve"> Cost Recovery Framework</w:t>
      </w:r>
      <w:r>
        <w:t>.</w:t>
      </w:r>
    </w:p>
    <w:tbl>
      <w:tblPr>
        <w:tblW w:w="1459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3649"/>
        <w:gridCol w:w="3263"/>
        <w:gridCol w:w="4140"/>
        <w:gridCol w:w="3544"/>
      </w:tblGrid>
      <w:tr w:rsidR="00FB5F97" w:rsidRPr="00A57859" w:rsidTr="007C5EC3">
        <w:trPr>
          <w:trHeight w:val="691"/>
        </w:trPr>
        <w:tc>
          <w:tcPr>
            <w:tcW w:w="3649" w:type="dxa"/>
            <w:tcBorders>
              <w:bottom w:val="single" w:sz="4" w:space="0" w:color="A6A6A6" w:themeColor="background1" w:themeShade="A6"/>
            </w:tcBorders>
            <w:shd w:val="clear" w:color="auto" w:fill="CFDCE7"/>
            <w:vAlign w:val="center"/>
            <w:hideMark/>
          </w:tcPr>
          <w:p w:rsidR="00FB5F97" w:rsidRPr="00FB5F97" w:rsidRDefault="003F6CF3" w:rsidP="00FB5F97">
            <w:pPr>
              <w:keepNext/>
              <w:rPr>
                <w:b/>
              </w:rPr>
            </w:pPr>
            <w:r>
              <w:rPr>
                <w:b/>
              </w:rPr>
              <w:t>Fee</w:t>
            </w:r>
          </w:p>
        </w:tc>
        <w:tc>
          <w:tcPr>
            <w:tcW w:w="3263" w:type="dxa"/>
            <w:tcBorders>
              <w:bottom w:val="single" w:sz="4" w:space="0" w:color="A6A6A6" w:themeColor="background1" w:themeShade="A6"/>
            </w:tcBorders>
            <w:shd w:val="clear" w:color="auto" w:fill="CFDCE7"/>
            <w:vAlign w:val="center"/>
            <w:hideMark/>
          </w:tcPr>
          <w:p w:rsidR="00FB5F97" w:rsidRPr="00FB5F97" w:rsidRDefault="00FB5F97" w:rsidP="00F51E1E">
            <w:pPr>
              <w:keepNext/>
              <w:jc w:val="center"/>
              <w:rPr>
                <w:b/>
              </w:rPr>
            </w:pPr>
            <w:r w:rsidRPr="00FB5F97">
              <w:rPr>
                <w:b/>
              </w:rPr>
              <w:t>Current price</w:t>
            </w:r>
          </w:p>
        </w:tc>
        <w:tc>
          <w:tcPr>
            <w:tcW w:w="4140" w:type="dxa"/>
            <w:tcBorders>
              <w:bottom w:val="single" w:sz="4" w:space="0" w:color="A6A6A6" w:themeColor="background1" w:themeShade="A6"/>
            </w:tcBorders>
            <w:shd w:val="clear" w:color="auto" w:fill="CFDCE7"/>
            <w:vAlign w:val="center"/>
            <w:hideMark/>
          </w:tcPr>
          <w:p w:rsidR="00FB5F97" w:rsidRPr="00FB5F97" w:rsidRDefault="00FB5F97" w:rsidP="00F51E1E">
            <w:pPr>
              <w:keepNext/>
              <w:jc w:val="center"/>
              <w:rPr>
                <w:b/>
              </w:rPr>
            </w:pPr>
            <w:r w:rsidRPr="00FB5F97">
              <w:rPr>
                <w:b/>
              </w:rPr>
              <w:t>Current price Indexed to 2020-21**</w:t>
            </w:r>
          </w:p>
        </w:tc>
        <w:tc>
          <w:tcPr>
            <w:tcW w:w="3544" w:type="dxa"/>
            <w:tcBorders>
              <w:bottom w:val="single" w:sz="4" w:space="0" w:color="A6A6A6" w:themeColor="background1" w:themeShade="A6"/>
            </w:tcBorders>
            <w:shd w:val="clear" w:color="auto" w:fill="CFDCE7"/>
            <w:vAlign w:val="center"/>
            <w:hideMark/>
          </w:tcPr>
          <w:p w:rsidR="00FB5F97" w:rsidRPr="00FB5F97" w:rsidRDefault="00FB5F97" w:rsidP="00F51E1E">
            <w:pPr>
              <w:keepNext/>
              <w:jc w:val="center"/>
              <w:rPr>
                <w:b/>
              </w:rPr>
            </w:pPr>
            <w:r w:rsidRPr="00FB5F97">
              <w:rPr>
                <w:b/>
              </w:rPr>
              <w:t>Proposed Price 2020-21</w:t>
            </w:r>
          </w:p>
        </w:tc>
      </w:tr>
      <w:tr w:rsidR="00FB5F97" w:rsidRPr="00F51E1E" w:rsidTr="00F51E1E">
        <w:trPr>
          <w:trHeight w:val="301"/>
        </w:trPr>
        <w:tc>
          <w:tcPr>
            <w:tcW w:w="3649" w:type="dxa"/>
            <w:tcBorders>
              <w:top w:val="single" w:sz="4" w:space="0" w:color="A6A6A6" w:themeColor="background1" w:themeShade="A6"/>
            </w:tcBorders>
            <w:shd w:val="clear" w:color="auto" w:fill="auto"/>
            <w:noWrap/>
            <w:vAlign w:val="bottom"/>
            <w:hideMark/>
          </w:tcPr>
          <w:p w:rsidR="00FB5F97" w:rsidRPr="00F51E1E" w:rsidRDefault="00FB5F97" w:rsidP="00F51E1E">
            <w:pPr>
              <w:rPr>
                <w:color w:val="000000"/>
                <w:szCs w:val="21"/>
              </w:rPr>
            </w:pPr>
            <w:r w:rsidRPr="00F51E1E">
              <w:rPr>
                <w:color w:val="000000"/>
                <w:szCs w:val="21"/>
              </w:rPr>
              <w:t>Single Licence Application</w:t>
            </w:r>
          </w:p>
        </w:tc>
        <w:tc>
          <w:tcPr>
            <w:tcW w:w="3263" w:type="dxa"/>
            <w:tcBorders>
              <w:top w:val="single" w:sz="4" w:space="0" w:color="A6A6A6" w:themeColor="background1" w:themeShade="A6"/>
            </w:tcBorders>
            <w:shd w:val="clear" w:color="auto" w:fill="FFFFFF" w:themeFill="background1"/>
            <w:noWrap/>
            <w:vAlign w:val="bottom"/>
            <w:hideMark/>
          </w:tcPr>
          <w:p w:rsidR="00FB5F97" w:rsidRPr="00F51E1E" w:rsidRDefault="00FB5F97" w:rsidP="00F51E1E">
            <w:pPr>
              <w:jc w:val="center"/>
              <w:rPr>
                <w:color w:val="000000"/>
                <w:szCs w:val="21"/>
              </w:rPr>
            </w:pPr>
            <w:r w:rsidRPr="00F51E1E">
              <w:rPr>
                <w:color w:val="000000"/>
                <w:szCs w:val="21"/>
              </w:rPr>
              <w:t>$5,040</w:t>
            </w:r>
          </w:p>
        </w:tc>
        <w:tc>
          <w:tcPr>
            <w:tcW w:w="4140" w:type="dxa"/>
            <w:tcBorders>
              <w:top w:val="single" w:sz="4" w:space="0" w:color="A6A6A6" w:themeColor="background1" w:themeShade="A6"/>
            </w:tcBorders>
            <w:shd w:val="clear" w:color="auto" w:fill="FFFFFF" w:themeFill="background1"/>
            <w:noWrap/>
            <w:vAlign w:val="bottom"/>
            <w:hideMark/>
          </w:tcPr>
          <w:p w:rsidR="00FB5F97" w:rsidRPr="00F51E1E" w:rsidRDefault="00FB5F97" w:rsidP="00F51E1E">
            <w:pPr>
              <w:jc w:val="center"/>
              <w:rPr>
                <w:color w:val="000000"/>
                <w:szCs w:val="21"/>
              </w:rPr>
            </w:pPr>
            <w:r w:rsidRPr="00F51E1E">
              <w:rPr>
                <w:color w:val="000000"/>
                <w:szCs w:val="21"/>
              </w:rPr>
              <w:t>$,5,440</w:t>
            </w:r>
          </w:p>
        </w:tc>
        <w:tc>
          <w:tcPr>
            <w:tcW w:w="3544" w:type="dxa"/>
            <w:tcBorders>
              <w:top w:val="single" w:sz="4" w:space="0" w:color="A6A6A6" w:themeColor="background1" w:themeShade="A6"/>
            </w:tcBorders>
            <w:shd w:val="clear" w:color="auto" w:fill="FFFFFF" w:themeFill="background1"/>
            <w:noWrap/>
            <w:vAlign w:val="bottom"/>
            <w:hideMark/>
          </w:tcPr>
          <w:p w:rsidR="00FB5F97" w:rsidRPr="00F51E1E" w:rsidRDefault="00FB5F97" w:rsidP="00F51E1E">
            <w:pPr>
              <w:jc w:val="center"/>
              <w:rPr>
                <w:color w:val="000000"/>
                <w:szCs w:val="21"/>
              </w:rPr>
            </w:pPr>
            <w:r w:rsidRPr="00F51E1E">
              <w:rPr>
                <w:color w:val="000000"/>
                <w:szCs w:val="21"/>
              </w:rPr>
              <w:t>$8,080</w:t>
            </w:r>
          </w:p>
        </w:tc>
      </w:tr>
      <w:tr w:rsidR="00FB5F97" w:rsidRPr="00F51E1E" w:rsidTr="00F51E1E">
        <w:trPr>
          <w:trHeight w:val="300"/>
        </w:trPr>
        <w:tc>
          <w:tcPr>
            <w:tcW w:w="3649" w:type="dxa"/>
            <w:shd w:val="clear" w:color="auto" w:fill="auto"/>
            <w:noWrap/>
            <w:vAlign w:val="bottom"/>
            <w:hideMark/>
          </w:tcPr>
          <w:p w:rsidR="00FB5F97" w:rsidRPr="00F51E1E" w:rsidRDefault="00FB5F97" w:rsidP="00F51E1E">
            <w:pPr>
              <w:rPr>
                <w:color w:val="000000"/>
                <w:szCs w:val="21"/>
              </w:rPr>
            </w:pPr>
            <w:r w:rsidRPr="00F51E1E">
              <w:rPr>
                <w:color w:val="000000"/>
                <w:szCs w:val="21"/>
              </w:rPr>
              <w:t>Double Licence Application</w:t>
            </w:r>
          </w:p>
        </w:tc>
        <w:tc>
          <w:tcPr>
            <w:tcW w:w="3263" w:type="dxa"/>
            <w:shd w:val="clear" w:color="auto" w:fill="FFFFFF" w:themeFill="background1"/>
            <w:noWrap/>
            <w:vAlign w:val="bottom"/>
            <w:hideMark/>
          </w:tcPr>
          <w:p w:rsidR="00FB5F97" w:rsidRPr="00F51E1E" w:rsidRDefault="00FB5F97" w:rsidP="00F51E1E">
            <w:pPr>
              <w:jc w:val="center"/>
              <w:rPr>
                <w:color w:val="000000"/>
                <w:szCs w:val="21"/>
              </w:rPr>
            </w:pPr>
            <w:r w:rsidRPr="00F51E1E">
              <w:rPr>
                <w:color w:val="000000"/>
                <w:szCs w:val="21"/>
              </w:rPr>
              <w:t>$6,300</w:t>
            </w:r>
          </w:p>
        </w:tc>
        <w:tc>
          <w:tcPr>
            <w:tcW w:w="4140" w:type="dxa"/>
            <w:shd w:val="clear" w:color="auto" w:fill="FFFFFF" w:themeFill="background1"/>
            <w:noWrap/>
            <w:vAlign w:val="bottom"/>
            <w:hideMark/>
          </w:tcPr>
          <w:p w:rsidR="00FB5F97" w:rsidRPr="00F51E1E" w:rsidRDefault="00FB5F97" w:rsidP="00F51E1E">
            <w:pPr>
              <w:jc w:val="center"/>
              <w:rPr>
                <w:color w:val="000000"/>
                <w:szCs w:val="21"/>
              </w:rPr>
            </w:pPr>
            <w:r w:rsidRPr="00F51E1E">
              <w:rPr>
                <w:color w:val="000000"/>
                <w:szCs w:val="21"/>
              </w:rPr>
              <w:t>$6,800</w:t>
            </w:r>
          </w:p>
        </w:tc>
        <w:tc>
          <w:tcPr>
            <w:tcW w:w="3544" w:type="dxa"/>
            <w:shd w:val="clear" w:color="auto" w:fill="FFFFFF" w:themeFill="background1"/>
            <w:noWrap/>
            <w:vAlign w:val="bottom"/>
            <w:hideMark/>
          </w:tcPr>
          <w:p w:rsidR="00FB5F97" w:rsidRPr="00F51E1E" w:rsidRDefault="00FB5F97" w:rsidP="00F51E1E">
            <w:pPr>
              <w:jc w:val="center"/>
              <w:rPr>
                <w:color w:val="000000"/>
                <w:szCs w:val="21"/>
              </w:rPr>
            </w:pPr>
            <w:r w:rsidRPr="00F51E1E">
              <w:rPr>
                <w:color w:val="000000"/>
                <w:szCs w:val="21"/>
              </w:rPr>
              <w:t>$8,710</w:t>
            </w:r>
          </w:p>
        </w:tc>
      </w:tr>
      <w:tr w:rsidR="00FB5F97" w:rsidRPr="00F51E1E" w:rsidTr="00F51E1E">
        <w:trPr>
          <w:trHeight w:val="300"/>
        </w:trPr>
        <w:tc>
          <w:tcPr>
            <w:tcW w:w="3649" w:type="dxa"/>
            <w:shd w:val="clear" w:color="auto" w:fill="auto"/>
            <w:noWrap/>
            <w:vAlign w:val="bottom"/>
            <w:hideMark/>
          </w:tcPr>
          <w:p w:rsidR="00FB5F97" w:rsidRPr="00F51E1E" w:rsidRDefault="00FB5F97" w:rsidP="00F51E1E">
            <w:pPr>
              <w:rPr>
                <w:color w:val="000000"/>
                <w:szCs w:val="21"/>
              </w:rPr>
            </w:pPr>
            <w:r w:rsidRPr="00F51E1E">
              <w:rPr>
                <w:color w:val="000000"/>
                <w:szCs w:val="21"/>
              </w:rPr>
              <w:t>Triple Licence Application</w:t>
            </w:r>
          </w:p>
        </w:tc>
        <w:tc>
          <w:tcPr>
            <w:tcW w:w="3263" w:type="dxa"/>
            <w:shd w:val="clear" w:color="auto" w:fill="FFFFFF" w:themeFill="background1"/>
            <w:noWrap/>
            <w:vAlign w:val="bottom"/>
            <w:hideMark/>
          </w:tcPr>
          <w:p w:rsidR="00FB5F97" w:rsidRPr="00F51E1E" w:rsidRDefault="00FB5F97" w:rsidP="00F51E1E">
            <w:pPr>
              <w:jc w:val="center"/>
              <w:rPr>
                <w:color w:val="000000"/>
                <w:szCs w:val="21"/>
              </w:rPr>
            </w:pPr>
            <w:r w:rsidRPr="00F51E1E">
              <w:rPr>
                <w:color w:val="000000"/>
                <w:szCs w:val="21"/>
              </w:rPr>
              <w:t>$6,300</w:t>
            </w:r>
          </w:p>
        </w:tc>
        <w:tc>
          <w:tcPr>
            <w:tcW w:w="4140" w:type="dxa"/>
            <w:shd w:val="clear" w:color="auto" w:fill="FFFFFF" w:themeFill="background1"/>
            <w:noWrap/>
            <w:vAlign w:val="bottom"/>
            <w:hideMark/>
          </w:tcPr>
          <w:p w:rsidR="00FB5F97" w:rsidRPr="00F51E1E" w:rsidRDefault="00FB5F97" w:rsidP="00F51E1E">
            <w:pPr>
              <w:jc w:val="center"/>
              <w:rPr>
                <w:color w:val="000000"/>
                <w:szCs w:val="21"/>
              </w:rPr>
            </w:pPr>
            <w:r w:rsidRPr="00F51E1E">
              <w:rPr>
                <w:color w:val="000000"/>
                <w:szCs w:val="21"/>
              </w:rPr>
              <w:t>$6,800</w:t>
            </w:r>
          </w:p>
        </w:tc>
        <w:tc>
          <w:tcPr>
            <w:tcW w:w="3544" w:type="dxa"/>
            <w:shd w:val="clear" w:color="auto" w:fill="FFFFFF" w:themeFill="background1"/>
            <w:noWrap/>
            <w:vAlign w:val="bottom"/>
            <w:hideMark/>
          </w:tcPr>
          <w:p w:rsidR="00FB5F97" w:rsidRPr="00F51E1E" w:rsidRDefault="00FB5F97" w:rsidP="00F51E1E">
            <w:pPr>
              <w:jc w:val="center"/>
              <w:rPr>
                <w:color w:val="000000"/>
                <w:szCs w:val="21"/>
              </w:rPr>
            </w:pPr>
            <w:r w:rsidRPr="00F51E1E">
              <w:rPr>
                <w:color w:val="000000"/>
                <w:szCs w:val="21"/>
              </w:rPr>
              <w:t>$9,380</w:t>
            </w:r>
          </w:p>
        </w:tc>
      </w:tr>
      <w:tr w:rsidR="00FB5F97" w:rsidRPr="00F51E1E" w:rsidTr="00F51E1E">
        <w:trPr>
          <w:trHeight w:val="300"/>
        </w:trPr>
        <w:tc>
          <w:tcPr>
            <w:tcW w:w="3649" w:type="dxa"/>
            <w:shd w:val="clear" w:color="auto" w:fill="auto"/>
            <w:noWrap/>
            <w:vAlign w:val="bottom"/>
            <w:hideMark/>
          </w:tcPr>
          <w:p w:rsidR="00FB5F97" w:rsidRPr="00F51E1E" w:rsidRDefault="00FB5F97" w:rsidP="00F51E1E">
            <w:pPr>
              <w:rPr>
                <w:color w:val="000000"/>
                <w:szCs w:val="21"/>
              </w:rPr>
            </w:pPr>
            <w:r w:rsidRPr="00F51E1E">
              <w:rPr>
                <w:color w:val="000000"/>
                <w:szCs w:val="21"/>
              </w:rPr>
              <w:t>Permit Application</w:t>
            </w:r>
          </w:p>
        </w:tc>
        <w:tc>
          <w:tcPr>
            <w:tcW w:w="3263" w:type="dxa"/>
            <w:shd w:val="clear" w:color="auto" w:fill="FFFFFF" w:themeFill="background1"/>
            <w:noWrap/>
            <w:vAlign w:val="bottom"/>
            <w:hideMark/>
          </w:tcPr>
          <w:p w:rsidR="00FB5F97" w:rsidRPr="00F51E1E" w:rsidRDefault="00FB5F97" w:rsidP="00F51E1E">
            <w:pPr>
              <w:jc w:val="center"/>
              <w:rPr>
                <w:color w:val="000000"/>
                <w:szCs w:val="21"/>
              </w:rPr>
            </w:pPr>
            <w:r w:rsidRPr="00F51E1E">
              <w:rPr>
                <w:color w:val="000000"/>
                <w:szCs w:val="21"/>
              </w:rPr>
              <w:t>$1,830</w:t>
            </w:r>
          </w:p>
        </w:tc>
        <w:tc>
          <w:tcPr>
            <w:tcW w:w="4140" w:type="dxa"/>
            <w:shd w:val="clear" w:color="auto" w:fill="FFFFFF" w:themeFill="background1"/>
            <w:noWrap/>
            <w:vAlign w:val="bottom"/>
            <w:hideMark/>
          </w:tcPr>
          <w:p w:rsidR="00FB5F97" w:rsidRPr="00F51E1E" w:rsidRDefault="00FB5F97" w:rsidP="00F51E1E">
            <w:pPr>
              <w:jc w:val="center"/>
              <w:rPr>
                <w:color w:val="000000"/>
                <w:szCs w:val="21"/>
              </w:rPr>
            </w:pPr>
            <w:r w:rsidRPr="00F51E1E">
              <w:rPr>
                <w:color w:val="000000"/>
                <w:szCs w:val="21"/>
              </w:rPr>
              <w:t>$1,970</w:t>
            </w:r>
          </w:p>
        </w:tc>
        <w:tc>
          <w:tcPr>
            <w:tcW w:w="3544" w:type="dxa"/>
            <w:shd w:val="clear" w:color="auto" w:fill="FFFFFF" w:themeFill="background1"/>
            <w:noWrap/>
            <w:vAlign w:val="bottom"/>
            <w:hideMark/>
          </w:tcPr>
          <w:p w:rsidR="00FB5F97" w:rsidRPr="00F51E1E" w:rsidRDefault="00FB5F97" w:rsidP="00F51E1E">
            <w:pPr>
              <w:jc w:val="center"/>
              <w:rPr>
                <w:color w:val="000000"/>
                <w:szCs w:val="21"/>
              </w:rPr>
            </w:pPr>
            <w:r w:rsidRPr="00F51E1E">
              <w:rPr>
                <w:color w:val="000000"/>
                <w:szCs w:val="21"/>
              </w:rPr>
              <w:t>$3,470</w:t>
            </w:r>
          </w:p>
        </w:tc>
      </w:tr>
      <w:tr w:rsidR="00FB5F97" w:rsidRPr="00F51E1E" w:rsidTr="00F51E1E">
        <w:trPr>
          <w:trHeight w:val="300"/>
        </w:trPr>
        <w:tc>
          <w:tcPr>
            <w:tcW w:w="3649" w:type="dxa"/>
            <w:shd w:val="clear" w:color="auto" w:fill="auto"/>
            <w:noWrap/>
            <w:vAlign w:val="bottom"/>
            <w:hideMark/>
          </w:tcPr>
          <w:p w:rsidR="00FB5F97" w:rsidRPr="00F51E1E" w:rsidRDefault="00FB5F97" w:rsidP="00F51E1E">
            <w:pPr>
              <w:rPr>
                <w:color w:val="000000"/>
                <w:szCs w:val="21"/>
              </w:rPr>
            </w:pPr>
            <w:r w:rsidRPr="00F51E1E">
              <w:rPr>
                <w:color w:val="000000"/>
                <w:szCs w:val="21"/>
              </w:rPr>
              <w:t>Licence Variation - Simple</w:t>
            </w:r>
          </w:p>
        </w:tc>
        <w:tc>
          <w:tcPr>
            <w:tcW w:w="3263" w:type="dxa"/>
            <w:shd w:val="clear" w:color="auto" w:fill="FFFFFF" w:themeFill="background1"/>
            <w:noWrap/>
            <w:vAlign w:val="bottom"/>
            <w:hideMark/>
          </w:tcPr>
          <w:p w:rsidR="00FB5F97" w:rsidRPr="00F51E1E" w:rsidRDefault="00FB5F97" w:rsidP="00F51E1E">
            <w:pPr>
              <w:jc w:val="center"/>
              <w:rPr>
                <w:color w:val="000000"/>
                <w:szCs w:val="21"/>
              </w:rPr>
            </w:pPr>
            <w:r w:rsidRPr="00F51E1E">
              <w:rPr>
                <w:color w:val="000000"/>
                <w:szCs w:val="21"/>
              </w:rPr>
              <w:t>$3,900</w:t>
            </w:r>
          </w:p>
        </w:tc>
        <w:tc>
          <w:tcPr>
            <w:tcW w:w="4140" w:type="dxa"/>
            <w:shd w:val="clear" w:color="auto" w:fill="FFFFFF" w:themeFill="background1"/>
            <w:noWrap/>
            <w:vAlign w:val="bottom"/>
            <w:hideMark/>
          </w:tcPr>
          <w:p w:rsidR="00FB5F97" w:rsidRPr="00F51E1E" w:rsidRDefault="00FB5F97" w:rsidP="00F51E1E">
            <w:pPr>
              <w:jc w:val="center"/>
              <w:rPr>
                <w:color w:val="000000"/>
                <w:szCs w:val="21"/>
              </w:rPr>
            </w:pPr>
            <w:r w:rsidRPr="00F51E1E">
              <w:rPr>
                <w:color w:val="000000"/>
                <w:szCs w:val="21"/>
              </w:rPr>
              <w:t>$4,210</w:t>
            </w:r>
          </w:p>
        </w:tc>
        <w:tc>
          <w:tcPr>
            <w:tcW w:w="3544" w:type="dxa"/>
            <w:shd w:val="clear" w:color="auto" w:fill="FFFFFF" w:themeFill="background1"/>
            <w:noWrap/>
            <w:vAlign w:val="bottom"/>
            <w:hideMark/>
          </w:tcPr>
          <w:p w:rsidR="00FB5F97" w:rsidRPr="00F51E1E" w:rsidRDefault="00FB5F97" w:rsidP="00F51E1E">
            <w:pPr>
              <w:jc w:val="center"/>
              <w:rPr>
                <w:color w:val="000000"/>
                <w:szCs w:val="21"/>
              </w:rPr>
            </w:pPr>
            <w:r w:rsidRPr="00F51E1E">
              <w:rPr>
                <w:color w:val="000000"/>
                <w:szCs w:val="21"/>
              </w:rPr>
              <w:t>$1,100</w:t>
            </w:r>
          </w:p>
        </w:tc>
      </w:tr>
      <w:tr w:rsidR="00FB5F97" w:rsidRPr="00F51E1E" w:rsidTr="00F51E1E">
        <w:trPr>
          <w:trHeight w:val="300"/>
        </w:trPr>
        <w:tc>
          <w:tcPr>
            <w:tcW w:w="3649" w:type="dxa"/>
            <w:shd w:val="clear" w:color="auto" w:fill="auto"/>
            <w:noWrap/>
            <w:vAlign w:val="bottom"/>
            <w:hideMark/>
          </w:tcPr>
          <w:p w:rsidR="00FB5F97" w:rsidRPr="00F51E1E" w:rsidRDefault="00FB5F97" w:rsidP="00F51E1E">
            <w:pPr>
              <w:rPr>
                <w:color w:val="000000"/>
                <w:szCs w:val="21"/>
              </w:rPr>
            </w:pPr>
            <w:r w:rsidRPr="00F51E1E">
              <w:rPr>
                <w:color w:val="000000"/>
                <w:szCs w:val="21"/>
              </w:rPr>
              <w:t>Licence Variation - Complex</w:t>
            </w:r>
          </w:p>
        </w:tc>
        <w:tc>
          <w:tcPr>
            <w:tcW w:w="3263" w:type="dxa"/>
            <w:shd w:val="clear" w:color="auto" w:fill="FFFFFF" w:themeFill="background1"/>
            <w:noWrap/>
            <w:vAlign w:val="bottom"/>
            <w:hideMark/>
          </w:tcPr>
          <w:p w:rsidR="00FB5F97" w:rsidRPr="00F51E1E" w:rsidRDefault="00FB5F97" w:rsidP="00F51E1E">
            <w:pPr>
              <w:jc w:val="center"/>
              <w:rPr>
                <w:color w:val="000000"/>
                <w:szCs w:val="21"/>
              </w:rPr>
            </w:pPr>
            <w:r w:rsidRPr="00F51E1E">
              <w:rPr>
                <w:color w:val="000000"/>
                <w:szCs w:val="21"/>
              </w:rPr>
              <w:t>$3,900</w:t>
            </w:r>
          </w:p>
        </w:tc>
        <w:tc>
          <w:tcPr>
            <w:tcW w:w="4140" w:type="dxa"/>
            <w:shd w:val="clear" w:color="auto" w:fill="FFFFFF" w:themeFill="background1"/>
            <w:noWrap/>
            <w:vAlign w:val="bottom"/>
            <w:hideMark/>
          </w:tcPr>
          <w:p w:rsidR="00FB5F97" w:rsidRPr="00F51E1E" w:rsidRDefault="00FB5F97" w:rsidP="00F51E1E">
            <w:pPr>
              <w:jc w:val="center"/>
              <w:rPr>
                <w:color w:val="000000"/>
                <w:szCs w:val="21"/>
              </w:rPr>
            </w:pPr>
            <w:r w:rsidRPr="00F51E1E">
              <w:rPr>
                <w:color w:val="000000"/>
                <w:szCs w:val="21"/>
              </w:rPr>
              <w:t>$4,210</w:t>
            </w:r>
          </w:p>
        </w:tc>
        <w:tc>
          <w:tcPr>
            <w:tcW w:w="3544" w:type="dxa"/>
            <w:shd w:val="clear" w:color="auto" w:fill="FFFFFF" w:themeFill="background1"/>
            <w:noWrap/>
            <w:vAlign w:val="bottom"/>
            <w:hideMark/>
          </w:tcPr>
          <w:p w:rsidR="00FB5F97" w:rsidRPr="00F51E1E" w:rsidRDefault="00FB5F97" w:rsidP="00F51E1E">
            <w:pPr>
              <w:jc w:val="center"/>
              <w:rPr>
                <w:color w:val="000000"/>
                <w:szCs w:val="21"/>
              </w:rPr>
            </w:pPr>
            <w:r w:rsidRPr="00F51E1E">
              <w:rPr>
                <w:color w:val="000000"/>
                <w:szCs w:val="21"/>
              </w:rPr>
              <w:t>$5,540</w:t>
            </w:r>
          </w:p>
        </w:tc>
      </w:tr>
      <w:tr w:rsidR="00FB5F97" w:rsidRPr="00F51E1E" w:rsidTr="00F51E1E">
        <w:trPr>
          <w:trHeight w:val="300"/>
        </w:trPr>
        <w:tc>
          <w:tcPr>
            <w:tcW w:w="3649" w:type="dxa"/>
            <w:shd w:val="clear" w:color="auto" w:fill="auto"/>
            <w:noWrap/>
            <w:vAlign w:val="bottom"/>
            <w:hideMark/>
          </w:tcPr>
          <w:p w:rsidR="00FB5F97" w:rsidRPr="00F51E1E" w:rsidRDefault="00FB5F97" w:rsidP="00F51E1E">
            <w:pPr>
              <w:rPr>
                <w:color w:val="000000"/>
                <w:szCs w:val="21"/>
              </w:rPr>
            </w:pPr>
            <w:r w:rsidRPr="00F51E1E">
              <w:rPr>
                <w:color w:val="000000"/>
                <w:szCs w:val="21"/>
              </w:rPr>
              <w:t>Permit Variation</w:t>
            </w:r>
          </w:p>
        </w:tc>
        <w:tc>
          <w:tcPr>
            <w:tcW w:w="3263" w:type="dxa"/>
            <w:shd w:val="clear" w:color="auto" w:fill="FFFFFF" w:themeFill="background1"/>
            <w:noWrap/>
            <w:vAlign w:val="bottom"/>
            <w:hideMark/>
          </w:tcPr>
          <w:p w:rsidR="00FB5F97" w:rsidRPr="00F51E1E" w:rsidRDefault="00FB5F97" w:rsidP="00F51E1E">
            <w:pPr>
              <w:jc w:val="center"/>
              <w:rPr>
                <w:color w:val="000000"/>
                <w:szCs w:val="21"/>
              </w:rPr>
            </w:pPr>
            <w:r w:rsidRPr="00F51E1E">
              <w:rPr>
                <w:color w:val="000000"/>
                <w:szCs w:val="21"/>
              </w:rPr>
              <w:t>$1,730</w:t>
            </w:r>
          </w:p>
        </w:tc>
        <w:tc>
          <w:tcPr>
            <w:tcW w:w="4140" w:type="dxa"/>
            <w:shd w:val="clear" w:color="auto" w:fill="FFFFFF" w:themeFill="background1"/>
            <w:noWrap/>
            <w:vAlign w:val="bottom"/>
            <w:hideMark/>
          </w:tcPr>
          <w:p w:rsidR="00FB5F97" w:rsidRPr="00F51E1E" w:rsidRDefault="00FB5F97" w:rsidP="00F51E1E">
            <w:pPr>
              <w:jc w:val="center"/>
              <w:rPr>
                <w:color w:val="000000"/>
                <w:szCs w:val="21"/>
              </w:rPr>
            </w:pPr>
            <w:r w:rsidRPr="00F51E1E">
              <w:rPr>
                <w:color w:val="000000"/>
                <w:szCs w:val="21"/>
              </w:rPr>
              <w:t>$1,870</w:t>
            </w:r>
          </w:p>
        </w:tc>
        <w:tc>
          <w:tcPr>
            <w:tcW w:w="3544" w:type="dxa"/>
            <w:shd w:val="clear" w:color="auto" w:fill="FFFFFF" w:themeFill="background1"/>
            <w:noWrap/>
            <w:vAlign w:val="bottom"/>
            <w:hideMark/>
          </w:tcPr>
          <w:p w:rsidR="00FB5F97" w:rsidRPr="00F51E1E" w:rsidRDefault="00FB5F97" w:rsidP="00F51E1E">
            <w:pPr>
              <w:jc w:val="center"/>
              <w:rPr>
                <w:color w:val="000000"/>
                <w:szCs w:val="21"/>
              </w:rPr>
            </w:pPr>
            <w:r w:rsidRPr="00F51E1E">
              <w:rPr>
                <w:color w:val="000000"/>
                <w:szCs w:val="21"/>
              </w:rPr>
              <w:t>$2,920</w:t>
            </w:r>
          </w:p>
        </w:tc>
      </w:tr>
      <w:tr w:rsidR="00FB5F97" w:rsidRPr="00F51E1E" w:rsidTr="00F51E1E">
        <w:trPr>
          <w:trHeight w:val="300"/>
        </w:trPr>
        <w:tc>
          <w:tcPr>
            <w:tcW w:w="3649" w:type="dxa"/>
            <w:shd w:val="clear" w:color="auto" w:fill="auto"/>
            <w:noWrap/>
            <w:vAlign w:val="bottom"/>
            <w:hideMark/>
          </w:tcPr>
          <w:p w:rsidR="00FB5F97" w:rsidRPr="00F51E1E" w:rsidRDefault="00FB5F97" w:rsidP="00F51E1E">
            <w:pPr>
              <w:rPr>
                <w:color w:val="000000"/>
                <w:szCs w:val="21"/>
              </w:rPr>
            </w:pPr>
            <w:r w:rsidRPr="00F51E1E">
              <w:rPr>
                <w:color w:val="000000"/>
                <w:szCs w:val="21"/>
              </w:rPr>
              <w:t>Minor Permit Modification</w:t>
            </w:r>
          </w:p>
        </w:tc>
        <w:tc>
          <w:tcPr>
            <w:tcW w:w="3263" w:type="dxa"/>
            <w:shd w:val="clear" w:color="auto" w:fill="FFFFFF" w:themeFill="background1"/>
            <w:noWrap/>
            <w:vAlign w:val="bottom"/>
            <w:hideMark/>
          </w:tcPr>
          <w:p w:rsidR="00FB5F97" w:rsidRPr="00F51E1E" w:rsidRDefault="00FB5F97" w:rsidP="00F51E1E">
            <w:pPr>
              <w:jc w:val="center"/>
              <w:rPr>
                <w:color w:val="000000"/>
                <w:szCs w:val="21"/>
              </w:rPr>
            </w:pPr>
            <w:r w:rsidRPr="00F51E1E">
              <w:rPr>
                <w:color w:val="000000"/>
                <w:szCs w:val="21"/>
              </w:rPr>
              <w:t>-</w:t>
            </w:r>
          </w:p>
        </w:tc>
        <w:tc>
          <w:tcPr>
            <w:tcW w:w="4140" w:type="dxa"/>
            <w:shd w:val="clear" w:color="auto" w:fill="FFFFFF" w:themeFill="background1"/>
            <w:noWrap/>
            <w:vAlign w:val="bottom"/>
            <w:hideMark/>
          </w:tcPr>
          <w:p w:rsidR="00FB5F97" w:rsidRPr="00F51E1E" w:rsidRDefault="00FB5F97" w:rsidP="00F51E1E">
            <w:pPr>
              <w:jc w:val="center"/>
              <w:rPr>
                <w:color w:val="000000"/>
                <w:szCs w:val="21"/>
              </w:rPr>
            </w:pPr>
            <w:r w:rsidRPr="00F51E1E">
              <w:rPr>
                <w:color w:val="000000"/>
                <w:szCs w:val="21"/>
              </w:rPr>
              <w:t>-</w:t>
            </w:r>
          </w:p>
        </w:tc>
        <w:tc>
          <w:tcPr>
            <w:tcW w:w="3544" w:type="dxa"/>
            <w:shd w:val="clear" w:color="auto" w:fill="FFFFFF" w:themeFill="background1"/>
            <w:noWrap/>
            <w:vAlign w:val="bottom"/>
            <w:hideMark/>
          </w:tcPr>
          <w:p w:rsidR="00FB5F97" w:rsidRPr="00F51E1E" w:rsidRDefault="00FB5F97" w:rsidP="00F51E1E">
            <w:pPr>
              <w:jc w:val="center"/>
              <w:rPr>
                <w:color w:val="000000"/>
                <w:szCs w:val="21"/>
              </w:rPr>
            </w:pPr>
            <w:r w:rsidRPr="00F51E1E">
              <w:rPr>
                <w:color w:val="000000"/>
                <w:szCs w:val="21"/>
              </w:rPr>
              <w:t>$120</w:t>
            </w:r>
          </w:p>
        </w:tc>
      </w:tr>
      <w:tr w:rsidR="00FB5F97" w:rsidRPr="00F51E1E" w:rsidTr="00F51E1E">
        <w:trPr>
          <w:trHeight w:val="300"/>
        </w:trPr>
        <w:tc>
          <w:tcPr>
            <w:tcW w:w="3649" w:type="dxa"/>
            <w:tcBorders>
              <w:bottom w:val="single" w:sz="4" w:space="0" w:color="A6A6A6" w:themeColor="background1" w:themeShade="A6"/>
            </w:tcBorders>
            <w:shd w:val="clear" w:color="auto" w:fill="auto"/>
            <w:noWrap/>
            <w:vAlign w:val="bottom"/>
            <w:hideMark/>
          </w:tcPr>
          <w:p w:rsidR="00FB5F97" w:rsidRPr="00F51E1E" w:rsidRDefault="007C5EC3" w:rsidP="00F51E1E">
            <w:pPr>
              <w:rPr>
                <w:color w:val="000000"/>
                <w:szCs w:val="21"/>
              </w:rPr>
            </w:pPr>
            <w:r>
              <w:rPr>
                <w:color w:val="000000"/>
                <w:szCs w:val="21"/>
              </w:rPr>
              <w:t>Pre-Commissioning Inspection</w:t>
            </w:r>
            <w:r w:rsidR="00FB5F97" w:rsidRPr="00F51E1E">
              <w:rPr>
                <w:color w:val="000000"/>
                <w:szCs w:val="21"/>
              </w:rPr>
              <w:t>*</w:t>
            </w:r>
          </w:p>
        </w:tc>
        <w:tc>
          <w:tcPr>
            <w:tcW w:w="3263" w:type="dxa"/>
            <w:tcBorders>
              <w:bottom w:val="single" w:sz="4" w:space="0" w:color="A6A6A6" w:themeColor="background1" w:themeShade="A6"/>
            </w:tcBorders>
            <w:shd w:val="clear" w:color="auto" w:fill="FFFFFF" w:themeFill="background1"/>
            <w:noWrap/>
            <w:vAlign w:val="bottom"/>
            <w:hideMark/>
          </w:tcPr>
          <w:p w:rsidR="00FB5F97" w:rsidRPr="00F51E1E" w:rsidRDefault="00FB5F97" w:rsidP="00F51E1E">
            <w:pPr>
              <w:jc w:val="center"/>
              <w:rPr>
                <w:color w:val="000000"/>
                <w:szCs w:val="21"/>
              </w:rPr>
            </w:pPr>
            <w:r w:rsidRPr="00F51E1E">
              <w:rPr>
                <w:color w:val="000000"/>
                <w:szCs w:val="21"/>
              </w:rPr>
              <w:t>$4,818</w:t>
            </w:r>
          </w:p>
        </w:tc>
        <w:tc>
          <w:tcPr>
            <w:tcW w:w="4140" w:type="dxa"/>
            <w:tcBorders>
              <w:bottom w:val="single" w:sz="4" w:space="0" w:color="A6A6A6" w:themeColor="background1" w:themeShade="A6"/>
            </w:tcBorders>
            <w:shd w:val="clear" w:color="auto" w:fill="FFFFFF" w:themeFill="background1"/>
            <w:noWrap/>
            <w:vAlign w:val="bottom"/>
            <w:hideMark/>
          </w:tcPr>
          <w:p w:rsidR="00FB5F97" w:rsidRPr="00F51E1E" w:rsidRDefault="00FB5F97" w:rsidP="00F51E1E">
            <w:pPr>
              <w:jc w:val="center"/>
              <w:rPr>
                <w:color w:val="000000"/>
                <w:szCs w:val="21"/>
              </w:rPr>
            </w:pPr>
            <w:r w:rsidRPr="00F51E1E">
              <w:rPr>
                <w:color w:val="000000"/>
                <w:szCs w:val="21"/>
              </w:rPr>
              <w:t>$5,200</w:t>
            </w:r>
          </w:p>
        </w:tc>
        <w:tc>
          <w:tcPr>
            <w:tcW w:w="3544" w:type="dxa"/>
            <w:tcBorders>
              <w:bottom w:val="single" w:sz="4" w:space="0" w:color="A6A6A6" w:themeColor="background1" w:themeShade="A6"/>
            </w:tcBorders>
            <w:shd w:val="clear" w:color="auto" w:fill="FFFFFF" w:themeFill="background1"/>
            <w:noWrap/>
            <w:vAlign w:val="bottom"/>
            <w:hideMark/>
          </w:tcPr>
          <w:p w:rsidR="00FB5F97" w:rsidRPr="00F51E1E" w:rsidRDefault="00FB5F97" w:rsidP="00F51E1E">
            <w:pPr>
              <w:jc w:val="center"/>
              <w:rPr>
                <w:color w:val="000000"/>
                <w:szCs w:val="21"/>
              </w:rPr>
            </w:pPr>
            <w:r w:rsidRPr="00F51E1E">
              <w:rPr>
                <w:color w:val="000000"/>
                <w:szCs w:val="21"/>
              </w:rPr>
              <w:t>$3,700</w:t>
            </w:r>
          </w:p>
        </w:tc>
      </w:tr>
    </w:tbl>
    <w:p w:rsidR="00FB5F97" w:rsidRPr="003F6CF3" w:rsidRDefault="003F6CF3" w:rsidP="003F6CF3">
      <w:pPr>
        <w:pStyle w:val="Tabledescription"/>
      </w:pPr>
      <w:r>
        <w:t>*</w:t>
      </w:r>
      <w:r w:rsidR="00FB5F97" w:rsidRPr="00FB5F97">
        <w:t>* Price reflects what the fees and charges would have been had they been subject to an annual indexation to July 2020.</w:t>
      </w:r>
    </w:p>
    <w:p w:rsidR="00FB5F97" w:rsidRDefault="00FB5F97" w:rsidP="003F6CF3">
      <w:pPr>
        <w:pStyle w:val="Heading2"/>
        <w:pageBreakBefore/>
        <w:spacing w:before="0"/>
      </w:pPr>
      <w:bookmarkStart w:id="57" w:name="_Appendix_C:_Proposed"/>
      <w:bookmarkStart w:id="58" w:name="_Toc34392610"/>
      <w:bookmarkStart w:id="59" w:name="_Toc34834182"/>
      <w:bookmarkEnd w:id="57"/>
      <w:r>
        <w:lastRenderedPageBreak/>
        <w:t>Appendix C: Proposed prices of amended charges</w:t>
      </w:r>
      <w:bookmarkEnd w:id="58"/>
      <w:bookmarkEnd w:id="59"/>
    </w:p>
    <w:p w:rsidR="00FB5F97" w:rsidRPr="001C3A7A" w:rsidRDefault="00FB5F97" w:rsidP="00FB5F97">
      <w:r w:rsidRPr="002F2530">
        <w:t xml:space="preserve">The </w:t>
      </w:r>
      <w:r>
        <w:t xml:space="preserve">information outlined below is draft without prejudice. </w:t>
      </w:r>
      <w:r w:rsidRPr="002F2530">
        <w:t xml:space="preserve">After receiving and consolidating feedback on this paper, the Department will seek formal approval </w:t>
      </w:r>
      <w:r>
        <w:t>to change the</w:t>
      </w:r>
      <w:r w:rsidRPr="002F2530">
        <w:t xml:space="preserve"> Cost Recovery Framework</w:t>
      </w:r>
      <w:r>
        <w:t>.</w:t>
      </w:r>
    </w:p>
    <w:tbl>
      <w:tblPr>
        <w:tblW w:w="147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3964"/>
        <w:gridCol w:w="2552"/>
        <w:gridCol w:w="3260"/>
        <w:gridCol w:w="2268"/>
        <w:gridCol w:w="2693"/>
      </w:tblGrid>
      <w:tr w:rsidR="00FB5F97" w:rsidRPr="00F51E1E" w:rsidTr="007C5EC3">
        <w:trPr>
          <w:trHeight w:val="300"/>
        </w:trPr>
        <w:tc>
          <w:tcPr>
            <w:tcW w:w="3964" w:type="dxa"/>
            <w:tcBorders>
              <w:bottom w:val="single" w:sz="4" w:space="0" w:color="A6A6A6" w:themeColor="background1" w:themeShade="A6"/>
            </w:tcBorders>
            <w:shd w:val="clear" w:color="auto" w:fill="CFDCE7"/>
            <w:noWrap/>
            <w:vAlign w:val="center"/>
          </w:tcPr>
          <w:p w:rsidR="00FB5F97" w:rsidRPr="00F51E1E" w:rsidRDefault="00FB5F97" w:rsidP="00F51E1E">
            <w:pPr>
              <w:keepNext/>
              <w:rPr>
                <w:b/>
              </w:rPr>
            </w:pPr>
            <w:r w:rsidRPr="00F51E1E">
              <w:rPr>
                <w:b/>
              </w:rPr>
              <w:t>Charge</w:t>
            </w:r>
          </w:p>
        </w:tc>
        <w:tc>
          <w:tcPr>
            <w:tcW w:w="2552" w:type="dxa"/>
            <w:tcBorders>
              <w:bottom w:val="single" w:sz="4" w:space="0" w:color="A6A6A6" w:themeColor="background1" w:themeShade="A6"/>
            </w:tcBorders>
            <w:shd w:val="clear" w:color="auto" w:fill="CFDCE7"/>
            <w:noWrap/>
            <w:vAlign w:val="center"/>
          </w:tcPr>
          <w:p w:rsidR="00FB5F97" w:rsidRPr="00F51E1E" w:rsidRDefault="00FB5F97" w:rsidP="00F51E1E">
            <w:pPr>
              <w:keepNext/>
              <w:jc w:val="center"/>
              <w:rPr>
                <w:b/>
              </w:rPr>
            </w:pPr>
            <w:r w:rsidRPr="00F51E1E">
              <w:rPr>
                <w:b/>
              </w:rPr>
              <w:t>Current price</w:t>
            </w:r>
          </w:p>
        </w:tc>
        <w:tc>
          <w:tcPr>
            <w:tcW w:w="3260" w:type="dxa"/>
            <w:tcBorders>
              <w:bottom w:val="single" w:sz="4" w:space="0" w:color="A6A6A6" w:themeColor="background1" w:themeShade="A6"/>
            </w:tcBorders>
            <w:shd w:val="clear" w:color="auto" w:fill="CFDCE7"/>
            <w:noWrap/>
            <w:vAlign w:val="center"/>
          </w:tcPr>
          <w:p w:rsidR="00FB5F97" w:rsidRPr="00F51E1E" w:rsidRDefault="00FB5F97" w:rsidP="00F51E1E">
            <w:pPr>
              <w:keepNext/>
              <w:jc w:val="center"/>
              <w:rPr>
                <w:b/>
              </w:rPr>
            </w:pPr>
            <w:r w:rsidRPr="00F51E1E">
              <w:rPr>
                <w:b/>
              </w:rPr>
              <w:t>Current price Indexed to 2020-21**</w:t>
            </w:r>
          </w:p>
        </w:tc>
        <w:tc>
          <w:tcPr>
            <w:tcW w:w="2268" w:type="dxa"/>
            <w:tcBorders>
              <w:bottom w:val="single" w:sz="4" w:space="0" w:color="A6A6A6" w:themeColor="background1" w:themeShade="A6"/>
            </w:tcBorders>
            <w:shd w:val="clear" w:color="auto" w:fill="CFDCE7"/>
            <w:noWrap/>
            <w:vAlign w:val="center"/>
          </w:tcPr>
          <w:p w:rsidR="00FB5F97" w:rsidRPr="00F51E1E" w:rsidRDefault="00FB5F97" w:rsidP="00F51E1E">
            <w:pPr>
              <w:keepNext/>
              <w:jc w:val="center"/>
              <w:rPr>
                <w:b/>
              </w:rPr>
            </w:pPr>
            <w:r w:rsidRPr="00F51E1E">
              <w:rPr>
                <w:b/>
              </w:rPr>
              <w:t>Proposed Price 2020-21</w:t>
            </w:r>
          </w:p>
        </w:tc>
        <w:tc>
          <w:tcPr>
            <w:tcW w:w="2693" w:type="dxa"/>
            <w:tcBorders>
              <w:bottom w:val="single" w:sz="4" w:space="0" w:color="A6A6A6" w:themeColor="background1" w:themeShade="A6"/>
            </w:tcBorders>
            <w:shd w:val="clear" w:color="auto" w:fill="CFDCE7"/>
            <w:vAlign w:val="center"/>
          </w:tcPr>
          <w:p w:rsidR="00FB5F97" w:rsidRPr="00F51E1E" w:rsidRDefault="00FB5F97" w:rsidP="00F51E1E">
            <w:pPr>
              <w:keepNext/>
              <w:jc w:val="center"/>
              <w:rPr>
                <w:b/>
              </w:rPr>
            </w:pPr>
            <w:r w:rsidRPr="00F51E1E">
              <w:rPr>
                <w:b/>
              </w:rPr>
              <w:t>Projected Unit cost 2020-21</w:t>
            </w:r>
          </w:p>
        </w:tc>
      </w:tr>
      <w:tr w:rsidR="00FB5F97" w:rsidRPr="00F51E1E" w:rsidTr="007C5EC3">
        <w:trPr>
          <w:trHeight w:val="300"/>
        </w:trPr>
        <w:tc>
          <w:tcPr>
            <w:tcW w:w="3964" w:type="dxa"/>
            <w:tcBorders>
              <w:top w:val="single" w:sz="4" w:space="0" w:color="A6A6A6" w:themeColor="background1" w:themeShade="A6"/>
            </w:tcBorders>
            <w:shd w:val="clear" w:color="auto" w:fill="auto"/>
            <w:noWrap/>
            <w:vAlign w:val="bottom"/>
            <w:hideMark/>
          </w:tcPr>
          <w:p w:rsidR="00FB5F97" w:rsidRPr="00F51E1E" w:rsidRDefault="00FB5F97" w:rsidP="00F51E1E">
            <w:pPr>
              <w:rPr>
                <w:color w:val="000000"/>
                <w:szCs w:val="21"/>
              </w:rPr>
            </w:pPr>
            <w:r w:rsidRPr="00F51E1E">
              <w:rPr>
                <w:color w:val="000000"/>
                <w:szCs w:val="21"/>
              </w:rPr>
              <w:t>Annual Licence Charge</w:t>
            </w:r>
          </w:p>
        </w:tc>
        <w:tc>
          <w:tcPr>
            <w:tcW w:w="2552" w:type="dxa"/>
            <w:tcBorders>
              <w:top w:val="single" w:sz="4" w:space="0" w:color="A6A6A6" w:themeColor="background1" w:themeShade="A6"/>
            </w:tcBorders>
            <w:shd w:val="clear" w:color="auto" w:fill="auto"/>
            <w:noWrap/>
            <w:vAlign w:val="bottom"/>
            <w:hideMark/>
          </w:tcPr>
          <w:p w:rsidR="00FB5F97" w:rsidRPr="00F51E1E" w:rsidRDefault="00FB5F97" w:rsidP="00F51E1E">
            <w:pPr>
              <w:jc w:val="center"/>
              <w:rPr>
                <w:color w:val="000000"/>
                <w:szCs w:val="21"/>
              </w:rPr>
            </w:pPr>
            <w:r w:rsidRPr="00F51E1E">
              <w:rPr>
                <w:color w:val="000000"/>
                <w:szCs w:val="21"/>
              </w:rPr>
              <w:t>$27,380</w:t>
            </w:r>
          </w:p>
        </w:tc>
        <w:tc>
          <w:tcPr>
            <w:tcW w:w="3260" w:type="dxa"/>
            <w:tcBorders>
              <w:top w:val="single" w:sz="4" w:space="0" w:color="A6A6A6" w:themeColor="background1" w:themeShade="A6"/>
            </w:tcBorders>
            <w:shd w:val="clear" w:color="auto" w:fill="FFFFFF" w:themeFill="background1"/>
            <w:noWrap/>
            <w:vAlign w:val="bottom"/>
            <w:hideMark/>
          </w:tcPr>
          <w:p w:rsidR="00FB5F97" w:rsidRPr="00F51E1E" w:rsidRDefault="00FB5F97" w:rsidP="00F51E1E">
            <w:pPr>
              <w:jc w:val="center"/>
              <w:rPr>
                <w:color w:val="000000"/>
                <w:szCs w:val="21"/>
              </w:rPr>
            </w:pPr>
            <w:r w:rsidRPr="00F51E1E">
              <w:rPr>
                <w:color w:val="000000"/>
                <w:szCs w:val="21"/>
              </w:rPr>
              <w:t>$29,540</w:t>
            </w:r>
          </w:p>
        </w:tc>
        <w:tc>
          <w:tcPr>
            <w:tcW w:w="2268" w:type="dxa"/>
            <w:tcBorders>
              <w:top w:val="single" w:sz="4" w:space="0" w:color="A6A6A6" w:themeColor="background1" w:themeShade="A6"/>
            </w:tcBorders>
            <w:shd w:val="clear" w:color="auto" w:fill="FFFFFF" w:themeFill="background1"/>
            <w:noWrap/>
            <w:vAlign w:val="bottom"/>
            <w:hideMark/>
          </w:tcPr>
          <w:p w:rsidR="00FB5F97" w:rsidRPr="00F51E1E" w:rsidRDefault="00FB5F97" w:rsidP="00F51E1E">
            <w:pPr>
              <w:jc w:val="center"/>
              <w:rPr>
                <w:color w:val="000000"/>
                <w:szCs w:val="21"/>
              </w:rPr>
            </w:pPr>
            <w:r w:rsidRPr="00F51E1E">
              <w:rPr>
                <w:color w:val="000000"/>
                <w:szCs w:val="21"/>
              </w:rPr>
              <w:t>$11,750</w:t>
            </w:r>
          </w:p>
        </w:tc>
        <w:tc>
          <w:tcPr>
            <w:tcW w:w="2693" w:type="dxa"/>
            <w:tcBorders>
              <w:top w:val="single" w:sz="4" w:space="0" w:color="A6A6A6" w:themeColor="background1" w:themeShade="A6"/>
            </w:tcBorders>
            <w:shd w:val="clear" w:color="auto" w:fill="FFFFFF" w:themeFill="background1"/>
          </w:tcPr>
          <w:p w:rsidR="00FB5F97" w:rsidRPr="00F51E1E" w:rsidRDefault="00FB5F97" w:rsidP="00F51E1E">
            <w:pPr>
              <w:jc w:val="center"/>
              <w:rPr>
                <w:color w:val="000000"/>
                <w:szCs w:val="21"/>
              </w:rPr>
            </w:pPr>
            <w:r w:rsidRPr="00F51E1E">
              <w:rPr>
                <w:color w:val="000000"/>
                <w:szCs w:val="21"/>
              </w:rPr>
              <w:t>-</w:t>
            </w:r>
          </w:p>
        </w:tc>
      </w:tr>
      <w:tr w:rsidR="00FB5F97" w:rsidRPr="00F51E1E" w:rsidTr="007C5EC3">
        <w:trPr>
          <w:trHeight w:val="300"/>
        </w:trPr>
        <w:tc>
          <w:tcPr>
            <w:tcW w:w="3964" w:type="dxa"/>
            <w:shd w:val="clear" w:color="auto" w:fill="auto"/>
            <w:noWrap/>
            <w:vAlign w:val="bottom"/>
            <w:hideMark/>
          </w:tcPr>
          <w:p w:rsidR="00FB5F97" w:rsidRPr="00F51E1E" w:rsidRDefault="00FB5F97" w:rsidP="00F51E1E">
            <w:pPr>
              <w:rPr>
                <w:color w:val="000000"/>
                <w:szCs w:val="21"/>
              </w:rPr>
            </w:pPr>
            <w:r w:rsidRPr="00F51E1E">
              <w:rPr>
                <w:color w:val="000000"/>
                <w:szCs w:val="21"/>
              </w:rPr>
              <w:t>Annual Site Charge</w:t>
            </w:r>
          </w:p>
        </w:tc>
        <w:tc>
          <w:tcPr>
            <w:tcW w:w="2552" w:type="dxa"/>
            <w:shd w:val="clear" w:color="auto" w:fill="auto"/>
            <w:noWrap/>
            <w:vAlign w:val="bottom"/>
            <w:hideMark/>
          </w:tcPr>
          <w:p w:rsidR="00FB5F97" w:rsidRPr="00F51E1E" w:rsidRDefault="00FB5F97" w:rsidP="00F51E1E">
            <w:pPr>
              <w:jc w:val="center"/>
              <w:rPr>
                <w:color w:val="000000"/>
                <w:szCs w:val="21"/>
              </w:rPr>
            </w:pPr>
            <w:r w:rsidRPr="00F51E1E">
              <w:rPr>
                <w:color w:val="000000"/>
                <w:szCs w:val="21"/>
              </w:rPr>
              <w:t>-</w:t>
            </w:r>
          </w:p>
        </w:tc>
        <w:tc>
          <w:tcPr>
            <w:tcW w:w="3260" w:type="dxa"/>
            <w:shd w:val="clear" w:color="auto" w:fill="FFFFFF" w:themeFill="background1"/>
            <w:noWrap/>
            <w:vAlign w:val="bottom"/>
            <w:hideMark/>
          </w:tcPr>
          <w:p w:rsidR="00FB5F97" w:rsidRPr="00F51E1E" w:rsidRDefault="00FB5F97" w:rsidP="00F51E1E">
            <w:pPr>
              <w:jc w:val="center"/>
              <w:rPr>
                <w:color w:val="000000"/>
                <w:szCs w:val="21"/>
              </w:rPr>
            </w:pPr>
            <w:r w:rsidRPr="00F51E1E">
              <w:rPr>
                <w:color w:val="000000"/>
                <w:szCs w:val="21"/>
              </w:rPr>
              <w:t>-</w:t>
            </w:r>
          </w:p>
        </w:tc>
        <w:tc>
          <w:tcPr>
            <w:tcW w:w="2268" w:type="dxa"/>
            <w:shd w:val="clear" w:color="auto" w:fill="FFFFFF" w:themeFill="background1"/>
            <w:noWrap/>
            <w:vAlign w:val="bottom"/>
            <w:hideMark/>
          </w:tcPr>
          <w:p w:rsidR="00FB5F97" w:rsidRPr="00F51E1E" w:rsidRDefault="00FB5F97" w:rsidP="00F51E1E">
            <w:pPr>
              <w:jc w:val="center"/>
              <w:rPr>
                <w:color w:val="000000"/>
                <w:szCs w:val="21"/>
              </w:rPr>
            </w:pPr>
            <w:r w:rsidRPr="00F51E1E">
              <w:rPr>
                <w:color w:val="000000"/>
                <w:szCs w:val="21"/>
              </w:rPr>
              <w:t>$19,440</w:t>
            </w:r>
          </w:p>
        </w:tc>
        <w:tc>
          <w:tcPr>
            <w:tcW w:w="2693" w:type="dxa"/>
            <w:shd w:val="clear" w:color="auto" w:fill="FFFFFF" w:themeFill="background1"/>
          </w:tcPr>
          <w:p w:rsidR="00FB5F97" w:rsidRPr="00F51E1E" w:rsidRDefault="00FB5F97" w:rsidP="00F51E1E">
            <w:pPr>
              <w:jc w:val="center"/>
              <w:rPr>
                <w:color w:val="000000"/>
                <w:szCs w:val="21"/>
              </w:rPr>
            </w:pPr>
            <w:r w:rsidRPr="00F51E1E">
              <w:rPr>
                <w:color w:val="000000"/>
                <w:szCs w:val="21"/>
              </w:rPr>
              <w:t>-</w:t>
            </w:r>
          </w:p>
        </w:tc>
      </w:tr>
      <w:tr w:rsidR="00FB5F97" w:rsidRPr="00F51E1E" w:rsidTr="007C5EC3">
        <w:trPr>
          <w:trHeight w:val="300"/>
        </w:trPr>
        <w:tc>
          <w:tcPr>
            <w:tcW w:w="3964" w:type="dxa"/>
            <w:shd w:val="clear" w:color="auto" w:fill="auto"/>
            <w:noWrap/>
            <w:vAlign w:val="bottom"/>
            <w:hideMark/>
          </w:tcPr>
          <w:p w:rsidR="00FB5F97" w:rsidRPr="00F51E1E" w:rsidRDefault="007C5EC3" w:rsidP="00F51E1E">
            <w:pPr>
              <w:rPr>
                <w:color w:val="000000"/>
                <w:szCs w:val="21"/>
              </w:rPr>
            </w:pPr>
            <w:r>
              <w:rPr>
                <w:color w:val="000000"/>
                <w:szCs w:val="21"/>
              </w:rPr>
              <w:t>Follow-up audit</w:t>
            </w:r>
            <w:r w:rsidR="00FB5F97" w:rsidRPr="00F51E1E">
              <w:rPr>
                <w:color w:val="000000"/>
                <w:szCs w:val="21"/>
              </w:rPr>
              <w:t>*</w:t>
            </w:r>
          </w:p>
        </w:tc>
        <w:tc>
          <w:tcPr>
            <w:tcW w:w="2552" w:type="dxa"/>
            <w:shd w:val="clear" w:color="auto" w:fill="auto"/>
            <w:noWrap/>
            <w:vAlign w:val="bottom"/>
            <w:hideMark/>
          </w:tcPr>
          <w:p w:rsidR="00FB5F97" w:rsidRPr="00F51E1E" w:rsidRDefault="00FB5F97" w:rsidP="00F51E1E">
            <w:pPr>
              <w:jc w:val="center"/>
              <w:rPr>
                <w:color w:val="000000"/>
                <w:szCs w:val="21"/>
              </w:rPr>
            </w:pPr>
            <w:r w:rsidRPr="00F51E1E">
              <w:rPr>
                <w:color w:val="000000"/>
                <w:szCs w:val="21"/>
              </w:rPr>
              <w:t>-</w:t>
            </w:r>
          </w:p>
        </w:tc>
        <w:tc>
          <w:tcPr>
            <w:tcW w:w="3260" w:type="dxa"/>
            <w:shd w:val="clear" w:color="auto" w:fill="FFFFFF" w:themeFill="background1"/>
            <w:noWrap/>
            <w:vAlign w:val="bottom"/>
            <w:hideMark/>
          </w:tcPr>
          <w:p w:rsidR="00FB5F97" w:rsidRPr="00F51E1E" w:rsidRDefault="00FB5F97" w:rsidP="00F51E1E">
            <w:pPr>
              <w:jc w:val="center"/>
              <w:rPr>
                <w:color w:val="000000"/>
                <w:szCs w:val="21"/>
              </w:rPr>
            </w:pPr>
            <w:r w:rsidRPr="00F51E1E">
              <w:rPr>
                <w:color w:val="000000"/>
                <w:szCs w:val="21"/>
              </w:rPr>
              <w:t>-</w:t>
            </w:r>
          </w:p>
        </w:tc>
        <w:tc>
          <w:tcPr>
            <w:tcW w:w="2268" w:type="dxa"/>
            <w:shd w:val="clear" w:color="auto" w:fill="FFFFFF" w:themeFill="background1"/>
            <w:noWrap/>
            <w:vAlign w:val="bottom"/>
            <w:hideMark/>
          </w:tcPr>
          <w:p w:rsidR="00FB5F97" w:rsidRPr="00F51E1E" w:rsidRDefault="00FB5F97" w:rsidP="00F51E1E">
            <w:pPr>
              <w:jc w:val="center"/>
              <w:rPr>
                <w:color w:val="000000"/>
                <w:szCs w:val="21"/>
              </w:rPr>
            </w:pPr>
            <w:r w:rsidRPr="00F51E1E">
              <w:rPr>
                <w:color w:val="000000"/>
                <w:szCs w:val="21"/>
              </w:rPr>
              <w:t>-</w:t>
            </w:r>
          </w:p>
        </w:tc>
        <w:tc>
          <w:tcPr>
            <w:tcW w:w="2693" w:type="dxa"/>
            <w:shd w:val="clear" w:color="auto" w:fill="FFFFFF" w:themeFill="background1"/>
            <w:vAlign w:val="bottom"/>
          </w:tcPr>
          <w:p w:rsidR="00FB5F97" w:rsidRPr="00F51E1E" w:rsidRDefault="00FB5F97" w:rsidP="00F51E1E">
            <w:pPr>
              <w:jc w:val="center"/>
              <w:rPr>
                <w:color w:val="000000"/>
                <w:szCs w:val="21"/>
              </w:rPr>
            </w:pPr>
            <w:r w:rsidRPr="00F51E1E">
              <w:rPr>
                <w:color w:val="000000"/>
                <w:szCs w:val="21"/>
              </w:rPr>
              <w:t>$3,138</w:t>
            </w:r>
          </w:p>
        </w:tc>
      </w:tr>
      <w:tr w:rsidR="00FB5F97" w:rsidRPr="00F51E1E" w:rsidTr="007C5EC3">
        <w:trPr>
          <w:trHeight w:val="300"/>
        </w:trPr>
        <w:tc>
          <w:tcPr>
            <w:tcW w:w="3964" w:type="dxa"/>
            <w:shd w:val="clear" w:color="auto" w:fill="auto"/>
            <w:noWrap/>
            <w:vAlign w:val="bottom"/>
            <w:hideMark/>
          </w:tcPr>
          <w:p w:rsidR="00FB5F97" w:rsidRPr="00F51E1E" w:rsidRDefault="007C5EC3" w:rsidP="00F51E1E">
            <w:pPr>
              <w:rPr>
                <w:color w:val="000000"/>
                <w:szCs w:val="21"/>
              </w:rPr>
            </w:pPr>
            <w:r>
              <w:rPr>
                <w:color w:val="000000"/>
                <w:szCs w:val="21"/>
              </w:rPr>
              <w:t>Follow-up Inspection</w:t>
            </w:r>
            <w:r w:rsidR="00FB5F97" w:rsidRPr="00F51E1E">
              <w:rPr>
                <w:color w:val="000000"/>
                <w:szCs w:val="21"/>
              </w:rPr>
              <w:t>*</w:t>
            </w:r>
          </w:p>
        </w:tc>
        <w:tc>
          <w:tcPr>
            <w:tcW w:w="2552" w:type="dxa"/>
            <w:shd w:val="clear" w:color="auto" w:fill="auto"/>
            <w:noWrap/>
            <w:vAlign w:val="bottom"/>
            <w:hideMark/>
          </w:tcPr>
          <w:p w:rsidR="00FB5F97" w:rsidRPr="00F51E1E" w:rsidRDefault="00FB5F97" w:rsidP="00F51E1E">
            <w:pPr>
              <w:jc w:val="center"/>
              <w:rPr>
                <w:color w:val="000000"/>
                <w:szCs w:val="21"/>
              </w:rPr>
            </w:pPr>
            <w:r w:rsidRPr="00F51E1E">
              <w:rPr>
                <w:color w:val="000000"/>
                <w:szCs w:val="21"/>
              </w:rPr>
              <w:t>-</w:t>
            </w:r>
          </w:p>
        </w:tc>
        <w:tc>
          <w:tcPr>
            <w:tcW w:w="3260" w:type="dxa"/>
            <w:shd w:val="clear" w:color="auto" w:fill="FFFFFF" w:themeFill="background1"/>
            <w:noWrap/>
            <w:vAlign w:val="bottom"/>
            <w:hideMark/>
          </w:tcPr>
          <w:p w:rsidR="00FB5F97" w:rsidRPr="00F51E1E" w:rsidRDefault="00FB5F97" w:rsidP="00F51E1E">
            <w:pPr>
              <w:jc w:val="center"/>
              <w:rPr>
                <w:color w:val="000000"/>
                <w:szCs w:val="21"/>
              </w:rPr>
            </w:pPr>
            <w:r w:rsidRPr="00F51E1E">
              <w:rPr>
                <w:color w:val="000000"/>
                <w:szCs w:val="21"/>
              </w:rPr>
              <w:t>-</w:t>
            </w:r>
          </w:p>
        </w:tc>
        <w:tc>
          <w:tcPr>
            <w:tcW w:w="2268" w:type="dxa"/>
            <w:shd w:val="clear" w:color="auto" w:fill="FFFFFF" w:themeFill="background1"/>
            <w:noWrap/>
            <w:vAlign w:val="bottom"/>
            <w:hideMark/>
          </w:tcPr>
          <w:p w:rsidR="00FB5F97" w:rsidRPr="00F51E1E" w:rsidRDefault="00FB5F97" w:rsidP="00F51E1E">
            <w:pPr>
              <w:jc w:val="center"/>
              <w:rPr>
                <w:color w:val="000000"/>
                <w:szCs w:val="21"/>
              </w:rPr>
            </w:pPr>
            <w:r w:rsidRPr="00F51E1E">
              <w:rPr>
                <w:color w:val="000000"/>
                <w:szCs w:val="21"/>
              </w:rPr>
              <w:t>-</w:t>
            </w:r>
          </w:p>
        </w:tc>
        <w:tc>
          <w:tcPr>
            <w:tcW w:w="2693" w:type="dxa"/>
            <w:shd w:val="clear" w:color="auto" w:fill="FFFFFF" w:themeFill="background1"/>
            <w:vAlign w:val="bottom"/>
          </w:tcPr>
          <w:p w:rsidR="00FB5F97" w:rsidRPr="00F51E1E" w:rsidRDefault="00FB5F97" w:rsidP="00F51E1E">
            <w:pPr>
              <w:jc w:val="center"/>
              <w:rPr>
                <w:color w:val="000000"/>
                <w:szCs w:val="21"/>
              </w:rPr>
            </w:pPr>
            <w:r w:rsidRPr="00F51E1E">
              <w:rPr>
                <w:color w:val="000000"/>
                <w:szCs w:val="21"/>
              </w:rPr>
              <w:t>$6,635</w:t>
            </w:r>
          </w:p>
        </w:tc>
      </w:tr>
      <w:tr w:rsidR="00FB5F97" w:rsidRPr="00F51E1E" w:rsidTr="007C5EC3">
        <w:trPr>
          <w:trHeight w:val="300"/>
        </w:trPr>
        <w:tc>
          <w:tcPr>
            <w:tcW w:w="3964" w:type="dxa"/>
            <w:shd w:val="clear" w:color="auto" w:fill="auto"/>
            <w:noWrap/>
            <w:vAlign w:val="bottom"/>
            <w:hideMark/>
          </w:tcPr>
          <w:p w:rsidR="00FB5F97" w:rsidRPr="00F51E1E" w:rsidRDefault="00FB5F97" w:rsidP="007C5EC3">
            <w:pPr>
              <w:rPr>
                <w:color w:val="000000"/>
                <w:szCs w:val="21"/>
              </w:rPr>
            </w:pPr>
            <w:r w:rsidRPr="00F51E1E">
              <w:rPr>
                <w:color w:val="000000"/>
                <w:szCs w:val="21"/>
              </w:rPr>
              <w:t>Follow-up sampling assessment*</w:t>
            </w:r>
          </w:p>
        </w:tc>
        <w:tc>
          <w:tcPr>
            <w:tcW w:w="2552" w:type="dxa"/>
            <w:shd w:val="clear" w:color="auto" w:fill="auto"/>
            <w:noWrap/>
            <w:vAlign w:val="bottom"/>
            <w:hideMark/>
          </w:tcPr>
          <w:p w:rsidR="00FB5F97" w:rsidRPr="00F51E1E" w:rsidRDefault="00FB5F97" w:rsidP="00F51E1E">
            <w:pPr>
              <w:jc w:val="center"/>
              <w:rPr>
                <w:color w:val="000000"/>
                <w:szCs w:val="21"/>
              </w:rPr>
            </w:pPr>
            <w:r w:rsidRPr="00F51E1E">
              <w:rPr>
                <w:color w:val="000000"/>
                <w:szCs w:val="21"/>
              </w:rPr>
              <w:t>-</w:t>
            </w:r>
          </w:p>
        </w:tc>
        <w:tc>
          <w:tcPr>
            <w:tcW w:w="3260" w:type="dxa"/>
            <w:shd w:val="clear" w:color="auto" w:fill="FFFFFF" w:themeFill="background1"/>
            <w:noWrap/>
            <w:vAlign w:val="bottom"/>
            <w:hideMark/>
          </w:tcPr>
          <w:p w:rsidR="00FB5F97" w:rsidRPr="00F51E1E" w:rsidRDefault="00FB5F97" w:rsidP="00F51E1E">
            <w:pPr>
              <w:jc w:val="center"/>
              <w:rPr>
                <w:color w:val="000000"/>
                <w:szCs w:val="21"/>
              </w:rPr>
            </w:pPr>
            <w:r w:rsidRPr="00F51E1E">
              <w:rPr>
                <w:color w:val="000000"/>
                <w:szCs w:val="21"/>
              </w:rPr>
              <w:t>-</w:t>
            </w:r>
          </w:p>
        </w:tc>
        <w:tc>
          <w:tcPr>
            <w:tcW w:w="2268" w:type="dxa"/>
            <w:shd w:val="clear" w:color="auto" w:fill="FFFFFF" w:themeFill="background1"/>
            <w:noWrap/>
            <w:vAlign w:val="bottom"/>
            <w:hideMark/>
          </w:tcPr>
          <w:p w:rsidR="00FB5F97" w:rsidRPr="00F51E1E" w:rsidRDefault="00FB5F97" w:rsidP="00F51E1E">
            <w:pPr>
              <w:jc w:val="center"/>
              <w:rPr>
                <w:color w:val="000000"/>
                <w:szCs w:val="21"/>
              </w:rPr>
            </w:pPr>
            <w:r w:rsidRPr="00F51E1E">
              <w:rPr>
                <w:color w:val="000000"/>
                <w:szCs w:val="21"/>
              </w:rPr>
              <w:t>-</w:t>
            </w:r>
          </w:p>
        </w:tc>
        <w:tc>
          <w:tcPr>
            <w:tcW w:w="2693" w:type="dxa"/>
            <w:shd w:val="clear" w:color="auto" w:fill="FFFFFF" w:themeFill="background1"/>
            <w:vAlign w:val="bottom"/>
          </w:tcPr>
          <w:p w:rsidR="00FB5F97" w:rsidRPr="00F51E1E" w:rsidRDefault="00FB5F97" w:rsidP="00F51E1E">
            <w:pPr>
              <w:jc w:val="center"/>
              <w:rPr>
                <w:color w:val="000000"/>
                <w:szCs w:val="21"/>
              </w:rPr>
            </w:pPr>
            <w:r w:rsidRPr="00F51E1E">
              <w:rPr>
                <w:color w:val="000000"/>
                <w:szCs w:val="21"/>
              </w:rPr>
              <w:t>$1,219</w:t>
            </w:r>
          </w:p>
        </w:tc>
      </w:tr>
      <w:tr w:rsidR="00FB5F97" w:rsidRPr="00F51E1E" w:rsidTr="007C5EC3">
        <w:trPr>
          <w:trHeight w:val="300"/>
        </w:trPr>
        <w:tc>
          <w:tcPr>
            <w:tcW w:w="3964" w:type="dxa"/>
            <w:shd w:val="clear" w:color="auto" w:fill="auto"/>
            <w:noWrap/>
            <w:vAlign w:val="bottom"/>
          </w:tcPr>
          <w:p w:rsidR="00FB5F97" w:rsidRPr="00F51E1E" w:rsidRDefault="00FB5F97" w:rsidP="00F51E1E">
            <w:pPr>
              <w:rPr>
                <w:color w:val="000000"/>
                <w:szCs w:val="21"/>
              </w:rPr>
            </w:pPr>
            <w:r w:rsidRPr="00F51E1E">
              <w:rPr>
                <w:color w:val="000000"/>
                <w:szCs w:val="21"/>
              </w:rPr>
              <w:t>Investigation*</w:t>
            </w:r>
          </w:p>
        </w:tc>
        <w:tc>
          <w:tcPr>
            <w:tcW w:w="2552" w:type="dxa"/>
            <w:shd w:val="clear" w:color="auto" w:fill="auto"/>
            <w:noWrap/>
            <w:vAlign w:val="bottom"/>
          </w:tcPr>
          <w:p w:rsidR="00FB5F97" w:rsidRPr="00F51E1E" w:rsidRDefault="00FB5F97" w:rsidP="00F51E1E">
            <w:pPr>
              <w:jc w:val="center"/>
              <w:rPr>
                <w:color w:val="000000"/>
                <w:szCs w:val="21"/>
              </w:rPr>
            </w:pPr>
            <w:r w:rsidRPr="00F51E1E">
              <w:rPr>
                <w:color w:val="000000"/>
                <w:szCs w:val="21"/>
              </w:rPr>
              <w:t>-</w:t>
            </w:r>
          </w:p>
        </w:tc>
        <w:tc>
          <w:tcPr>
            <w:tcW w:w="3260" w:type="dxa"/>
            <w:shd w:val="clear" w:color="auto" w:fill="FFFFFF" w:themeFill="background1"/>
            <w:noWrap/>
            <w:vAlign w:val="bottom"/>
          </w:tcPr>
          <w:p w:rsidR="00FB5F97" w:rsidRPr="00F51E1E" w:rsidRDefault="00FB5F97" w:rsidP="00F51E1E">
            <w:pPr>
              <w:jc w:val="center"/>
              <w:rPr>
                <w:color w:val="000000"/>
                <w:szCs w:val="21"/>
              </w:rPr>
            </w:pPr>
            <w:r w:rsidRPr="00F51E1E">
              <w:rPr>
                <w:color w:val="000000"/>
                <w:szCs w:val="21"/>
              </w:rPr>
              <w:t>-</w:t>
            </w:r>
          </w:p>
        </w:tc>
        <w:tc>
          <w:tcPr>
            <w:tcW w:w="2268" w:type="dxa"/>
            <w:shd w:val="clear" w:color="auto" w:fill="FFFFFF" w:themeFill="background1"/>
            <w:noWrap/>
            <w:vAlign w:val="bottom"/>
          </w:tcPr>
          <w:p w:rsidR="00FB5F97" w:rsidRPr="00F51E1E" w:rsidRDefault="00FB5F97" w:rsidP="00F51E1E">
            <w:pPr>
              <w:jc w:val="center"/>
              <w:rPr>
                <w:color w:val="000000"/>
                <w:szCs w:val="21"/>
              </w:rPr>
            </w:pPr>
            <w:r w:rsidRPr="00F51E1E">
              <w:rPr>
                <w:color w:val="000000"/>
                <w:szCs w:val="21"/>
              </w:rPr>
              <w:t>-</w:t>
            </w:r>
          </w:p>
        </w:tc>
        <w:tc>
          <w:tcPr>
            <w:tcW w:w="2693" w:type="dxa"/>
            <w:shd w:val="clear" w:color="auto" w:fill="FFFFFF" w:themeFill="background1"/>
            <w:vAlign w:val="bottom"/>
          </w:tcPr>
          <w:p w:rsidR="00FB5F97" w:rsidRPr="00F51E1E" w:rsidRDefault="00FB5F97" w:rsidP="00F51E1E">
            <w:pPr>
              <w:jc w:val="center"/>
              <w:rPr>
                <w:color w:val="000000"/>
                <w:szCs w:val="21"/>
              </w:rPr>
            </w:pPr>
            <w:r w:rsidRPr="00F51E1E">
              <w:rPr>
                <w:color w:val="000000"/>
                <w:szCs w:val="21"/>
              </w:rPr>
              <w:t>$8,932</w:t>
            </w:r>
          </w:p>
        </w:tc>
      </w:tr>
      <w:tr w:rsidR="00FB5F97" w:rsidRPr="00F51E1E" w:rsidTr="007C5EC3">
        <w:trPr>
          <w:trHeight w:val="300"/>
        </w:trPr>
        <w:tc>
          <w:tcPr>
            <w:tcW w:w="3964" w:type="dxa"/>
            <w:shd w:val="clear" w:color="auto" w:fill="auto"/>
            <w:noWrap/>
            <w:vAlign w:val="bottom"/>
          </w:tcPr>
          <w:p w:rsidR="00FB5F97" w:rsidRPr="00F51E1E" w:rsidRDefault="00FB5F97" w:rsidP="00F51E1E">
            <w:pPr>
              <w:rPr>
                <w:color w:val="000000"/>
                <w:szCs w:val="21"/>
              </w:rPr>
            </w:pPr>
            <w:r w:rsidRPr="00F51E1E">
              <w:rPr>
                <w:color w:val="000000"/>
                <w:szCs w:val="21"/>
              </w:rPr>
              <w:t>Investigation inspection*</w:t>
            </w:r>
          </w:p>
        </w:tc>
        <w:tc>
          <w:tcPr>
            <w:tcW w:w="2552" w:type="dxa"/>
            <w:shd w:val="clear" w:color="auto" w:fill="auto"/>
            <w:noWrap/>
            <w:vAlign w:val="bottom"/>
          </w:tcPr>
          <w:p w:rsidR="00FB5F97" w:rsidRPr="00F51E1E" w:rsidRDefault="00FB5F97" w:rsidP="00F51E1E">
            <w:pPr>
              <w:jc w:val="center"/>
              <w:rPr>
                <w:color w:val="000000"/>
                <w:szCs w:val="21"/>
              </w:rPr>
            </w:pPr>
            <w:r w:rsidRPr="00F51E1E">
              <w:rPr>
                <w:color w:val="000000"/>
                <w:szCs w:val="21"/>
              </w:rPr>
              <w:t>-</w:t>
            </w:r>
          </w:p>
        </w:tc>
        <w:tc>
          <w:tcPr>
            <w:tcW w:w="3260" w:type="dxa"/>
            <w:shd w:val="clear" w:color="auto" w:fill="FFFFFF" w:themeFill="background1"/>
            <w:noWrap/>
            <w:vAlign w:val="bottom"/>
          </w:tcPr>
          <w:p w:rsidR="00FB5F97" w:rsidRPr="00F51E1E" w:rsidRDefault="00FB5F97" w:rsidP="00F51E1E">
            <w:pPr>
              <w:jc w:val="center"/>
              <w:rPr>
                <w:color w:val="000000"/>
                <w:szCs w:val="21"/>
              </w:rPr>
            </w:pPr>
            <w:r w:rsidRPr="00F51E1E">
              <w:rPr>
                <w:color w:val="000000"/>
                <w:szCs w:val="21"/>
              </w:rPr>
              <w:t>-</w:t>
            </w:r>
          </w:p>
        </w:tc>
        <w:tc>
          <w:tcPr>
            <w:tcW w:w="2268" w:type="dxa"/>
            <w:shd w:val="clear" w:color="auto" w:fill="FFFFFF" w:themeFill="background1"/>
            <w:noWrap/>
            <w:vAlign w:val="bottom"/>
          </w:tcPr>
          <w:p w:rsidR="00FB5F97" w:rsidRPr="00F51E1E" w:rsidRDefault="00FB5F97" w:rsidP="00F51E1E">
            <w:pPr>
              <w:jc w:val="center"/>
              <w:rPr>
                <w:color w:val="000000"/>
                <w:szCs w:val="21"/>
              </w:rPr>
            </w:pPr>
            <w:r w:rsidRPr="00F51E1E">
              <w:rPr>
                <w:color w:val="000000"/>
                <w:szCs w:val="21"/>
              </w:rPr>
              <w:t>-</w:t>
            </w:r>
          </w:p>
        </w:tc>
        <w:tc>
          <w:tcPr>
            <w:tcW w:w="2693" w:type="dxa"/>
            <w:shd w:val="clear" w:color="auto" w:fill="FFFFFF" w:themeFill="background1"/>
            <w:vAlign w:val="bottom"/>
          </w:tcPr>
          <w:p w:rsidR="00FB5F97" w:rsidRPr="00F51E1E" w:rsidRDefault="00FB5F97" w:rsidP="00F51E1E">
            <w:pPr>
              <w:jc w:val="center"/>
              <w:rPr>
                <w:color w:val="000000"/>
                <w:szCs w:val="21"/>
              </w:rPr>
            </w:pPr>
            <w:r w:rsidRPr="00F51E1E">
              <w:rPr>
                <w:color w:val="000000"/>
                <w:szCs w:val="21"/>
              </w:rPr>
              <w:t>$7,927</w:t>
            </w:r>
          </w:p>
        </w:tc>
      </w:tr>
      <w:tr w:rsidR="00FB5F97" w:rsidRPr="00F51E1E" w:rsidTr="007C5EC3">
        <w:trPr>
          <w:trHeight w:val="300"/>
        </w:trPr>
        <w:tc>
          <w:tcPr>
            <w:tcW w:w="3964" w:type="dxa"/>
            <w:shd w:val="clear" w:color="auto" w:fill="auto"/>
            <w:noWrap/>
            <w:vAlign w:val="bottom"/>
          </w:tcPr>
          <w:p w:rsidR="00FB5F97" w:rsidRPr="00F51E1E" w:rsidRDefault="00FB5F97" w:rsidP="00F51E1E">
            <w:pPr>
              <w:rPr>
                <w:color w:val="000000"/>
                <w:szCs w:val="21"/>
              </w:rPr>
            </w:pPr>
            <w:r w:rsidRPr="00F51E1E">
              <w:rPr>
                <w:color w:val="000000"/>
                <w:szCs w:val="21"/>
              </w:rPr>
              <w:t>Investigation sampling assessment*</w:t>
            </w:r>
          </w:p>
        </w:tc>
        <w:tc>
          <w:tcPr>
            <w:tcW w:w="2552" w:type="dxa"/>
            <w:shd w:val="clear" w:color="auto" w:fill="auto"/>
            <w:noWrap/>
            <w:vAlign w:val="bottom"/>
          </w:tcPr>
          <w:p w:rsidR="00FB5F97" w:rsidRPr="00F51E1E" w:rsidRDefault="00FB5F97" w:rsidP="00F51E1E">
            <w:pPr>
              <w:jc w:val="center"/>
              <w:rPr>
                <w:color w:val="000000"/>
                <w:szCs w:val="21"/>
              </w:rPr>
            </w:pPr>
            <w:r w:rsidRPr="00F51E1E">
              <w:rPr>
                <w:color w:val="000000"/>
                <w:szCs w:val="21"/>
              </w:rPr>
              <w:t>-</w:t>
            </w:r>
          </w:p>
        </w:tc>
        <w:tc>
          <w:tcPr>
            <w:tcW w:w="3260" w:type="dxa"/>
            <w:shd w:val="clear" w:color="auto" w:fill="FFFFFF" w:themeFill="background1"/>
            <w:noWrap/>
            <w:vAlign w:val="bottom"/>
          </w:tcPr>
          <w:p w:rsidR="00FB5F97" w:rsidRPr="00F51E1E" w:rsidRDefault="00FB5F97" w:rsidP="00F51E1E">
            <w:pPr>
              <w:jc w:val="center"/>
              <w:rPr>
                <w:color w:val="000000"/>
                <w:szCs w:val="21"/>
              </w:rPr>
            </w:pPr>
            <w:r w:rsidRPr="00F51E1E">
              <w:rPr>
                <w:color w:val="000000"/>
                <w:szCs w:val="21"/>
              </w:rPr>
              <w:t>-</w:t>
            </w:r>
          </w:p>
        </w:tc>
        <w:tc>
          <w:tcPr>
            <w:tcW w:w="2268" w:type="dxa"/>
            <w:shd w:val="clear" w:color="auto" w:fill="FFFFFF" w:themeFill="background1"/>
            <w:noWrap/>
            <w:vAlign w:val="bottom"/>
          </w:tcPr>
          <w:p w:rsidR="00FB5F97" w:rsidRPr="00F51E1E" w:rsidRDefault="00FB5F97" w:rsidP="00F51E1E">
            <w:pPr>
              <w:jc w:val="center"/>
              <w:rPr>
                <w:color w:val="000000"/>
                <w:szCs w:val="21"/>
              </w:rPr>
            </w:pPr>
            <w:r w:rsidRPr="00F51E1E">
              <w:rPr>
                <w:color w:val="000000"/>
                <w:szCs w:val="21"/>
              </w:rPr>
              <w:t>-</w:t>
            </w:r>
          </w:p>
        </w:tc>
        <w:tc>
          <w:tcPr>
            <w:tcW w:w="2693" w:type="dxa"/>
            <w:shd w:val="clear" w:color="auto" w:fill="FFFFFF" w:themeFill="background1"/>
            <w:vAlign w:val="bottom"/>
          </w:tcPr>
          <w:p w:rsidR="00FB5F97" w:rsidRPr="00F51E1E" w:rsidRDefault="00FB5F97" w:rsidP="00F51E1E">
            <w:pPr>
              <w:jc w:val="center"/>
              <w:rPr>
                <w:color w:val="000000"/>
                <w:szCs w:val="21"/>
              </w:rPr>
            </w:pPr>
            <w:r w:rsidRPr="00F51E1E">
              <w:rPr>
                <w:color w:val="000000"/>
                <w:szCs w:val="21"/>
              </w:rPr>
              <w:t>$1,219</w:t>
            </w:r>
          </w:p>
        </w:tc>
      </w:tr>
      <w:tr w:rsidR="00FB5F97" w:rsidRPr="00F51E1E" w:rsidTr="007C5EC3">
        <w:trPr>
          <w:trHeight w:val="300"/>
        </w:trPr>
        <w:tc>
          <w:tcPr>
            <w:tcW w:w="3964" w:type="dxa"/>
            <w:shd w:val="clear" w:color="auto" w:fill="auto"/>
            <w:noWrap/>
            <w:vAlign w:val="bottom"/>
          </w:tcPr>
          <w:p w:rsidR="00FB5F97" w:rsidRPr="00F51E1E" w:rsidRDefault="007C5EC3" w:rsidP="00F51E1E">
            <w:pPr>
              <w:rPr>
                <w:color w:val="000000"/>
                <w:szCs w:val="21"/>
              </w:rPr>
            </w:pPr>
            <w:r>
              <w:rPr>
                <w:color w:val="000000"/>
                <w:szCs w:val="21"/>
              </w:rPr>
              <w:t>Enforcement Action: Minor</w:t>
            </w:r>
            <w:r w:rsidR="00FB5F97" w:rsidRPr="00F51E1E">
              <w:rPr>
                <w:color w:val="000000"/>
                <w:szCs w:val="21"/>
              </w:rPr>
              <w:t>*</w:t>
            </w:r>
          </w:p>
        </w:tc>
        <w:tc>
          <w:tcPr>
            <w:tcW w:w="2552" w:type="dxa"/>
            <w:shd w:val="clear" w:color="auto" w:fill="auto"/>
            <w:noWrap/>
            <w:vAlign w:val="bottom"/>
          </w:tcPr>
          <w:p w:rsidR="00FB5F97" w:rsidRPr="00F51E1E" w:rsidRDefault="00FB5F97" w:rsidP="00F51E1E">
            <w:pPr>
              <w:jc w:val="center"/>
              <w:rPr>
                <w:color w:val="000000"/>
                <w:szCs w:val="21"/>
              </w:rPr>
            </w:pPr>
            <w:r w:rsidRPr="00F51E1E">
              <w:rPr>
                <w:color w:val="000000"/>
                <w:szCs w:val="21"/>
              </w:rPr>
              <w:t>-</w:t>
            </w:r>
          </w:p>
        </w:tc>
        <w:tc>
          <w:tcPr>
            <w:tcW w:w="3260" w:type="dxa"/>
            <w:shd w:val="clear" w:color="auto" w:fill="FFFFFF" w:themeFill="background1"/>
            <w:noWrap/>
            <w:vAlign w:val="bottom"/>
          </w:tcPr>
          <w:p w:rsidR="00FB5F97" w:rsidRPr="00F51E1E" w:rsidRDefault="00FB5F97" w:rsidP="00F51E1E">
            <w:pPr>
              <w:jc w:val="center"/>
              <w:rPr>
                <w:color w:val="000000"/>
                <w:szCs w:val="21"/>
              </w:rPr>
            </w:pPr>
            <w:r w:rsidRPr="00F51E1E">
              <w:rPr>
                <w:color w:val="000000"/>
                <w:szCs w:val="21"/>
              </w:rPr>
              <w:t>-</w:t>
            </w:r>
          </w:p>
        </w:tc>
        <w:tc>
          <w:tcPr>
            <w:tcW w:w="2268" w:type="dxa"/>
            <w:shd w:val="clear" w:color="auto" w:fill="FFFFFF" w:themeFill="background1"/>
            <w:noWrap/>
            <w:vAlign w:val="bottom"/>
          </w:tcPr>
          <w:p w:rsidR="00FB5F97" w:rsidRPr="00F51E1E" w:rsidRDefault="00FB5F97" w:rsidP="00F51E1E">
            <w:pPr>
              <w:jc w:val="center"/>
              <w:rPr>
                <w:color w:val="000000"/>
                <w:szCs w:val="21"/>
              </w:rPr>
            </w:pPr>
            <w:r w:rsidRPr="00F51E1E">
              <w:rPr>
                <w:color w:val="000000"/>
                <w:szCs w:val="21"/>
              </w:rPr>
              <w:t>-</w:t>
            </w:r>
          </w:p>
        </w:tc>
        <w:tc>
          <w:tcPr>
            <w:tcW w:w="2693" w:type="dxa"/>
            <w:shd w:val="clear" w:color="auto" w:fill="FFFFFF" w:themeFill="background1"/>
            <w:vAlign w:val="bottom"/>
          </w:tcPr>
          <w:p w:rsidR="00FB5F97" w:rsidRPr="00F51E1E" w:rsidRDefault="00FB5F97" w:rsidP="00F51E1E">
            <w:pPr>
              <w:jc w:val="center"/>
              <w:rPr>
                <w:color w:val="000000"/>
                <w:szCs w:val="21"/>
              </w:rPr>
            </w:pPr>
            <w:r w:rsidRPr="00F51E1E">
              <w:rPr>
                <w:color w:val="000000"/>
                <w:szCs w:val="21"/>
              </w:rPr>
              <w:t>$4,462</w:t>
            </w:r>
          </w:p>
        </w:tc>
      </w:tr>
      <w:tr w:rsidR="00FB5F97" w:rsidRPr="00F51E1E" w:rsidTr="007C5EC3">
        <w:trPr>
          <w:trHeight w:val="300"/>
        </w:trPr>
        <w:tc>
          <w:tcPr>
            <w:tcW w:w="3964" w:type="dxa"/>
            <w:shd w:val="clear" w:color="auto" w:fill="auto"/>
            <w:noWrap/>
            <w:vAlign w:val="bottom"/>
            <w:hideMark/>
          </w:tcPr>
          <w:p w:rsidR="00FB5F97" w:rsidRPr="00F51E1E" w:rsidRDefault="007C5EC3" w:rsidP="00F51E1E">
            <w:pPr>
              <w:rPr>
                <w:color w:val="000000"/>
                <w:szCs w:val="21"/>
              </w:rPr>
            </w:pPr>
            <w:r>
              <w:rPr>
                <w:color w:val="000000"/>
                <w:szCs w:val="21"/>
              </w:rPr>
              <w:t>Enforcement Action: Moderate</w:t>
            </w:r>
            <w:r w:rsidR="00FB5F97" w:rsidRPr="00F51E1E">
              <w:rPr>
                <w:color w:val="000000"/>
                <w:szCs w:val="21"/>
              </w:rPr>
              <w:t>*</w:t>
            </w:r>
          </w:p>
        </w:tc>
        <w:tc>
          <w:tcPr>
            <w:tcW w:w="2552" w:type="dxa"/>
            <w:shd w:val="clear" w:color="auto" w:fill="auto"/>
            <w:noWrap/>
            <w:vAlign w:val="bottom"/>
            <w:hideMark/>
          </w:tcPr>
          <w:p w:rsidR="00FB5F97" w:rsidRPr="00F51E1E" w:rsidRDefault="00FB5F97" w:rsidP="00F51E1E">
            <w:pPr>
              <w:jc w:val="center"/>
              <w:rPr>
                <w:color w:val="000000"/>
                <w:szCs w:val="21"/>
              </w:rPr>
            </w:pPr>
            <w:r w:rsidRPr="00F51E1E">
              <w:rPr>
                <w:color w:val="000000"/>
                <w:szCs w:val="21"/>
              </w:rPr>
              <w:t>-</w:t>
            </w:r>
          </w:p>
        </w:tc>
        <w:tc>
          <w:tcPr>
            <w:tcW w:w="3260" w:type="dxa"/>
            <w:shd w:val="clear" w:color="auto" w:fill="FFFFFF" w:themeFill="background1"/>
            <w:noWrap/>
            <w:vAlign w:val="bottom"/>
            <w:hideMark/>
          </w:tcPr>
          <w:p w:rsidR="00FB5F97" w:rsidRPr="00F51E1E" w:rsidRDefault="00FB5F97" w:rsidP="00F51E1E">
            <w:pPr>
              <w:jc w:val="center"/>
              <w:rPr>
                <w:color w:val="000000"/>
                <w:szCs w:val="21"/>
              </w:rPr>
            </w:pPr>
            <w:r w:rsidRPr="00F51E1E">
              <w:rPr>
                <w:color w:val="000000"/>
                <w:szCs w:val="21"/>
              </w:rPr>
              <w:t>-</w:t>
            </w:r>
          </w:p>
        </w:tc>
        <w:tc>
          <w:tcPr>
            <w:tcW w:w="2268" w:type="dxa"/>
            <w:shd w:val="clear" w:color="auto" w:fill="FFFFFF" w:themeFill="background1"/>
            <w:noWrap/>
            <w:vAlign w:val="bottom"/>
            <w:hideMark/>
          </w:tcPr>
          <w:p w:rsidR="00FB5F97" w:rsidRPr="00F51E1E" w:rsidRDefault="00FB5F97" w:rsidP="00F51E1E">
            <w:pPr>
              <w:jc w:val="center"/>
              <w:rPr>
                <w:color w:val="000000"/>
                <w:szCs w:val="21"/>
              </w:rPr>
            </w:pPr>
            <w:r w:rsidRPr="00F51E1E">
              <w:rPr>
                <w:color w:val="000000"/>
                <w:szCs w:val="21"/>
              </w:rPr>
              <w:t>-</w:t>
            </w:r>
          </w:p>
        </w:tc>
        <w:tc>
          <w:tcPr>
            <w:tcW w:w="2693" w:type="dxa"/>
            <w:shd w:val="clear" w:color="auto" w:fill="FFFFFF" w:themeFill="background1"/>
            <w:vAlign w:val="bottom"/>
          </w:tcPr>
          <w:p w:rsidR="00FB5F97" w:rsidRPr="00F51E1E" w:rsidRDefault="00FB5F97" w:rsidP="00F51E1E">
            <w:pPr>
              <w:jc w:val="center"/>
              <w:rPr>
                <w:color w:val="000000"/>
                <w:szCs w:val="21"/>
              </w:rPr>
            </w:pPr>
            <w:r w:rsidRPr="00F51E1E">
              <w:rPr>
                <w:color w:val="000000"/>
                <w:szCs w:val="21"/>
              </w:rPr>
              <w:t>$5,176</w:t>
            </w:r>
          </w:p>
        </w:tc>
      </w:tr>
      <w:tr w:rsidR="00FB5F97" w:rsidRPr="00F51E1E" w:rsidTr="007C5EC3">
        <w:trPr>
          <w:trHeight w:val="300"/>
        </w:trPr>
        <w:tc>
          <w:tcPr>
            <w:tcW w:w="3964" w:type="dxa"/>
            <w:shd w:val="clear" w:color="auto" w:fill="auto"/>
            <w:noWrap/>
            <w:vAlign w:val="bottom"/>
            <w:hideMark/>
          </w:tcPr>
          <w:p w:rsidR="00FB5F97" w:rsidRPr="00F51E1E" w:rsidRDefault="007C5EC3" w:rsidP="00F51E1E">
            <w:pPr>
              <w:rPr>
                <w:color w:val="000000"/>
                <w:szCs w:val="21"/>
              </w:rPr>
            </w:pPr>
            <w:r>
              <w:rPr>
                <w:color w:val="000000"/>
                <w:szCs w:val="21"/>
              </w:rPr>
              <w:t>Enforcement Action: Major</w:t>
            </w:r>
            <w:r w:rsidR="00FB5F97" w:rsidRPr="00F51E1E">
              <w:rPr>
                <w:color w:val="000000"/>
                <w:szCs w:val="21"/>
              </w:rPr>
              <w:t>*</w:t>
            </w:r>
          </w:p>
        </w:tc>
        <w:tc>
          <w:tcPr>
            <w:tcW w:w="2552" w:type="dxa"/>
            <w:shd w:val="clear" w:color="auto" w:fill="auto"/>
            <w:noWrap/>
            <w:vAlign w:val="bottom"/>
            <w:hideMark/>
          </w:tcPr>
          <w:p w:rsidR="00FB5F97" w:rsidRPr="00F51E1E" w:rsidRDefault="00FB5F97" w:rsidP="00F51E1E">
            <w:pPr>
              <w:jc w:val="center"/>
              <w:rPr>
                <w:color w:val="000000"/>
                <w:szCs w:val="21"/>
              </w:rPr>
            </w:pPr>
            <w:r w:rsidRPr="00F51E1E">
              <w:rPr>
                <w:color w:val="000000"/>
                <w:szCs w:val="21"/>
              </w:rPr>
              <w:t>-</w:t>
            </w:r>
          </w:p>
        </w:tc>
        <w:tc>
          <w:tcPr>
            <w:tcW w:w="3260" w:type="dxa"/>
            <w:shd w:val="clear" w:color="auto" w:fill="FFFFFF" w:themeFill="background1"/>
            <w:noWrap/>
            <w:vAlign w:val="bottom"/>
            <w:hideMark/>
          </w:tcPr>
          <w:p w:rsidR="00FB5F97" w:rsidRPr="00F51E1E" w:rsidRDefault="00FB5F97" w:rsidP="00F51E1E">
            <w:pPr>
              <w:jc w:val="center"/>
              <w:rPr>
                <w:color w:val="000000"/>
                <w:szCs w:val="21"/>
              </w:rPr>
            </w:pPr>
            <w:r w:rsidRPr="00F51E1E">
              <w:rPr>
                <w:color w:val="000000"/>
                <w:szCs w:val="21"/>
              </w:rPr>
              <w:t>-</w:t>
            </w:r>
          </w:p>
        </w:tc>
        <w:tc>
          <w:tcPr>
            <w:tcW w:w="2268" w:type="dxa"/>
            <w:shd w:val="clear" w:color="auto" w:fill="FFFFFF" w:themeFill="background1"/>
            <w:noWrap/>
            <w:vAlign w:val="bottom"/>
            <w:hideMark/>
          </w:tcPr>
          <w:p w:rsidR="00FB5F97" w:rsidRPr="00F51E1E" w:rsidRDefault="00FB5F97" w:rsidP="00F51E1E">
            <w:pPr>
              <w:jc w:val="center"/>
              <w:rPr>
                <w:color w:val="000000"/>
                <w:szCs w:val="21"/>
              </w:rPr>
            </w:pPr>
            <w:r w:rsidRPr="00F51E1E">
              <w:rPr>
                <w:color w:val="000000"/>
                <w:szCs w:val="21"/>
              </w:rPr>
              <w:t>-</w:t>
            </w:r>
          </w:p>
        </w:tc>
        <w:tc>
          <w:tcPr>
            <w:tcW w:w="2693" w:type="dxa"/>
            <w:shd w:val="clear" w:color="auto" w:fill="FFFFFF" w:themeFill="background1"/>
            <w:vAlign w:val="bottom"/>
          </w:tcPr>
          <w:p w:rsidR="00FB5F97" w:rsidRPr="00F51E1E" w:rsidRDefault="00FB5F97" w:rsidP="00F51E1E">
            <w:pPr>
              <w:jc w:val="center"/>
              <w:rPr>
                <w:color w:val="000000"/>
                <w:szCs w:val="21"/>
              </w:rPr>
            </w:pPr>
            <w:r w:rsidRPr="00F51E1E">
              <w:rPr>
                <w:color w:val="000000"/>
                <w:szCs w:val="21"/>
              </w:rPr>
              <w:t>$7,045</w:t>
            </w:r>
          </w:p>
        </w:tc>
      </w:tr>
    </w:tbl>
    <w:p w:rsidR="00FB5F97" w:rsidRPr="00F51E1E" w:rsidRDefault="00FB5F97" w:rsidP="003F6CF3">
      <w:pPr>
        <w:pStyle w:val="Tabledescription"/>
      </w:pPr>
      <w:r w:rsidRPr="00F51E1E">
        <w:t xml:space="preserve">* Applied at an hourly rate – prices here are indicative only and will depend on the nature of the follow up </w:t>
      </w:r>
      <w:r w:rsidR="003F6CF3">
        <w:t>activity or enforcement action.</w:t>
      </w:r>
    </w:p>
    <w:sectPr w:rsidR="00FB5F97" w:rsidRPr="00F51E1E" w:rsidSect="00FB5F97">
      <w:headerReference w:type="default" r:id="rId22"/>
      <w:footerReference w:type="default" r:id="rId23"/>
      <w:headerReference w:type="first" r:id="rId24"/>
      <w:footerReference w:type="first" r:id="rId25"/>
      <w:pgSz w:w="16838" w:h="11906" w:orient="landscape" w:code="9"/>
      <w:pgMar w:top="1276" w:right="1134" w:bottom="1134" w:left="851" w:header="573" w:footer="1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2D99" w:rsidRDefault="001B2D99" w:rsidP="00C40A36">
      <w:pPr>
        <w:spacing w:after="0"/>
      </w:pPr>
      <w:r>
        <w:separator/>
      </w:r>
    </w:p>
  </w:endnote>
  <w:endnote w:type="continuationSeparator" w:id="0">
    <w:p w:rsidR="001B2D99" w:rsidRDefault="001B2D99"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1275"/>
    </w:tblGrid>
    <w:tr w:rsidR="001B2D99" w:rsidRPr="00257138" w:rsidTr="00DC0486">
      <w:trPr>
        <w:trHeight w:val="263"/>
      </w:trPr>
      <w:tc>
        <w:tcPr>
          <w:tcW w:w="8472" w:type="dxa"/>
        </w:tcPr>
        <w:p w:rsidR="001B2D99" w:rsidRPr="00257138" w:rsidRDefault="001B2D99" w:rsidP="00916321">
          <w:pPr>
            <w:pStyle w:val="Footer"/>
          </w:pPr>
          <w:r w:rsidRPr="00257138">
            <w:t>V1.0</w:t>
          </w:r>
          <w:r>
            <w:t>,</w:t>
          </w:r>
          <w:r w:rsidRPr="00257138">
            <w:t xml:space="preserve"> </w:t>
          </w:r>
          <w:r>
            <w:t>Month</w:t>
          </w:r>
          <w:r w:rsidRPr="00257138">
            <w:t xml:space="preserve"> </w:t>
          </w:r>
          <w:r>
            <w:t>Year</w:t>
          </w:r>
        </w:p>
      </w:tc>
      <w:tc>
        <w:tcPr>
          <w:tcW w:w="1275" w:type="dxa"/>
        </w:tcPr>
        <w:p w:rsidR="001B2D99" w:rsidRPr="00257138" w:rsidRDefault="001B2D99" w:rsidP="000B30E5">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rsidR="00F52074">
            <w:fldChar w:fldCharType="begin"/>
          </w:r>
          <w:r w:rsidR="00F52074">
            <w:instrText xml:space="preserve"> NUMPAGES  </w:instrText>
          </w:r>
          <w:r w:rsidR="00F52074">
            <w:fldChar w:fldCharType="separate"/>
          </w:r>
          <w:r w:rsidR="00C86EFC">
            <w:rPr>
              <w:noProof/>
            </w:rPr>
            <w:t>16</w:t>
          </w:r>
          <w:r w:rsidR="00F52074">
            <w:rPr>
              <w:noProof/>
            </w:rPr>
            <w:fldChar w:fldCharType="end"/>
          </w:r>
        </w:p>
      </w:tc>
    </w:tr>
  </w:tbl>
  <w:p w:rsidR="001B2D99" w:rsidRPr="00826007" w:rsidRDefault="001B2D99" w:rsidP="000B30E5">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2D99" w:rsidRDefault="001B2D99" w:rsidP="00816164">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Cs w:val="20"/>
      </w:rPr>
      <w:id w:val="-555931282"/>
      <w:docPartObj>
        <w:docPartGallery w:val="Page Numbers (Bottom of Page)"/>
        <w:docPartUnique/>
      </w:docPartObj>
    </w:sdtPr>
    <w:sdtEndPr/>
    <w:sdtContent>
      <w:sdt>
        <w:sdtPr>
          <w:rPr>
            <w:szCs w:val="20"/>
          </w:rPr>
          <w:id w:val="1728636285"/>
          <w:docPartObj>
            <w:docPartGallery w:val="Page Numbers (Top of Page)"/>
            <w:docPartUnique/>
          </w:docPartObj>
        </w:sdtPr>
        <w:sdtEndPr/>
        <w:sdtContent>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1275"/>
            </w:tblGrid>
            <w:tr w:rsidR="001B2D99" w:rsidRPr="00257138" w:rsidTr="001B2D99">
              <w:trPr>
                <w:trHeight w:val="263"/>
              </w:trPr>
              <w:tc>
                <w:tcPr>
                  <w:tcW w:w="8472" w:type="dxa"/>
                </w:tcPr>
                <w:p w:rsidR="001B2D99" w:rsidRPr="00257138" w:rsidRDefault="001B2D99" w:rsidP="00F51E1E">
                  <w:pPr>
                    <w:pStyle w:val="Footer"/>
                  </w:pPr>
                  <w:r w:rsidRPr="00257138">
                    <w:t>V1.0</w:t>
                  </w:r>
                  <w:r>
                    <w:t>,</w:t>
                  </w:r>
                  <w:r w:rsidRPr="00257138">
                    <w:t xml:space="preserve"> </w:t>
                  </w:r>
                  <w:r>
                    <w:t>March 2020</w:t>
                  </w:r>
                </w:p>
              </w:tc>
              <w:tc>
                <w:tcPr>
                  <w:tcW w:w="1275" w:type="dxa"/>
                </w:tcPr>
                <w:p w:rsidR="001B2D99" w:rsidRPr="00257138" w:rsidRDefault="001B2D99" w:rsidP="00F51E1E">
                  <w:pPr>
                    <w:pStyle w:val="Footer"/>
                    <w:jc w:val="right"/>
                  </w:pPr>
                  <w:r w:rsidRPr="00257138">
                    <w:t xml:space="preserve">Page </w:t>
                  </w:r>
                  <w:r>
                    <w:fldChar w:fldCharType="begin"/>
                  </w:r>
                  <w:r>
                    <w:instrText xml:space="preserve"> PAGE </w:instrText>
                  </w:r>
                  <w:r>
                    <w:fldChar w:fldCharType="separate"/>
                  </w:r>
                  <w:r w:rsidR="00F52074">
                    <w:rPr>
                      <w:noProof/>
                    </w:rPr>
                    <w:t>13</w:t>
                  </w:r>
                  <w:r>
                    <w:rPr>
                      <w:noProof/>
                    </w:rPr>
                    <w:fldChar w:fldCharType="end"/>
                  </w:r>
                  <w:r w:rsidRPr="00257138">
                    <w:t xml:space="preserve"> of </w:t>
                  </w:r>
                  <w:r w:rsidR="00F52074">
                    <w:fldChar w:fldCharType="begin"/>
                  </w:r>
                  <w:r w:rsidR="00F52074">
                    <w:instrText xml:space="preserve"> NUMPAGES  </w:instrText>
                  </w:r>
                  <w:r w:rsidR="00F52074">
                    <w:fldChar w:fldCharType="separate"/>
                  </w:r>
                  <w:r w:rsidR="00F52074">
                    <w:rPr>
                      <w:noProof/>
                    </w:rPr>
                    <w:t>16</w:t>
                  </w:r>
                  <w:r w:rsidR="00F52074">
                    <w:rPr>
                      <w:noProof/>
                    </w:rPr>
                    <w:fldChar w:fldCharType="end"/>
                  </w:r>
                </w:p>
              </w:tc>
            </w:tr>
          </w:tbl>
          <w:p w:rsidR="001B2D99" w:rsidRDefault="00F52074" w:rsidP="00FB5F97">
            <w:pPr>
              <w:pStyle w:val="Footer"/>
            </w:pPr>
          </w:p>
        </w:sdtContent>
      </w:sdt>
    </w:sdtContent>
  </w:sdt>
  <w:p w:rsidR="001B2D99" w:rsidRDefault="001B2D9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Cs w:val="20"/>
      </w:rPr>
      <w:id w:val="1792165025"/>
      <w:docPartObj>
        <w:docPartGallery w:val="Page Numbers (Bottom of Page)"/>
        <w:docPartUnique/>
      </w:docPartObj>
    </w:sdtPr>
    <w:sdtEndPr/>
    <w:sdtContent>
      <w:sdt>
        <w:sdtPr>
          <w:rPr>
            <w:szCs w:val="20"/>
          </w:rPr>
          <w:id w:val="415595410"/>
          <w:docPartObj>
            <w:docPartGallery w:val="Page Numbers (Top of Page)"/>
            <w:docPartUnique/>
          </w:docPartObj>
        </w:sdtPr>
        <w:sdtEndPr/>
        <w:sdtContent>
          <w:tbl>
            <w:tblPr>
              <w:tblStyle w:val="TableGrid"/>
              <w:tblW w:w="14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6129"/>
            </w:tblGrid>
            <w:tr w:rsidR="006157AC" w:rsidRPr="00257138" w:rsidTr="006157AC">
              <w:trPr>
                <w:trHeight w:val="263"/>
              </w:trPr>
              <w:tc>
                <w:tcPr>
                  <w:tcW w:w="8472" w:type="dxa"/>
                </w:tcPr>
                <w:p w:rsidR="006157AC" w:rsidRPr="00257138" w:rsidRDefault="006157AC" w:rsidP="00F51E1E">
                  <w:pPr>
                    <w:pStyle w:val="Footer"/>
                  </w:pPr>
                  <w:r w:rsidRPr="00257138">
                    <w:t>V1.0</w:t>
                  </w:r>
                  <w:r>
                    <w:t>,</w:t>
                  </w:r>
                  <w:r w:rsidRPr="00257138">
                    <w:t xml:space="preserve"> </w:t>
                  </w:r>
                  <w:r>
                    <w:t>March 2020</w:t>
                  </w:r>
                </w:p>
              </w:tc>
              <w:tc>
                <w:tcPr>
                  <w:tcW w:w="6129" w:type="dxa"/>
                </w:tcPr>
                <w:p w:rsidR="006157AC" w:rsidRPr="00257138" w:rsidRDefault="006157AC" w:rsidP="00F51E1E">
                  <w:pPr>
                    <w:pStyle w:val="Footer"/>
                    <w:jc w:val="right"/>
                  </w:pPr>
                  <w:r w:rsidRPr="00257138">
                    <w:t xml:space="preserve">Page </w:t>
                  </w:r>
                  <w:r>
                    <w:fldChar w:fldCharType="begin"/>
                  </w:r>
                  <w:r>
                    <w:instrText xml:space="preserve"> PAGE </w:instrText>
                  </w:r>
                  <w:r>
                    <w:fldChar w:fldCharType="separate"/>
                  </w:r>
                  <w:r w:rsidR="00F52074">
                    <w:rPr>
                      <w:noProof/>
                    </w:rPr>
                    <w:t>14</w:t>
                  </w:r>
                  <w:r>
                    <w:rPr>
                      <w:noProof/>
                    </w:rPr>
                    <w:fldChar w:fldCharType="end"/>
                  </w:r>
                  <w:r w:rsidRPr="00257138">
                    <w:t xml:space="preserve"> of </w:t>
                  </w:r>
                  <w:r w:rsidR="00F52074">
                    <w:fldChar w:fldCharType="begin"/>
                  </w:r>
                  <w:r w:rsidR="00F52074">
                    <w:instrText xml:space="preserve"> NUMPAGES  </w:instrText>
                  </w:r>
                  <w:r w:rsidR="00F52074">
                    <w:fldChar w:fldCharType="separate"/>
                  </w:r>
                  <w:r w:rsidR="00F52074">
                    <w:rPr>
                      <w:noProof/>
                    </w:rPr>
                    <w:t>16</w:t>
                  </w:r>
                  <w:r w:rsidR="00F52074">
                    <w:rPr>
                      <w:noProof/>
                    </w:rPr>
                    <w:fldChar w:fldCharType="end"/>
                  </w:r>
                </w:p>
              </w:tc>
            </w:tr>
          </w:tbl>
          <w:p w:rsidR="006157AC" w:rsidRDefault="00F52074" w:rsidP="00FB5F97">
            <w:pPr>
              <w:pStyle w:val="Footer"/>
            </w:pPr>
          </w:p>
        </w:sdtContent>
      </w:sdt>
    </w:sdtContent>
  </w:sdt>
  <w:p w:rsidR="006157AC" w:rsidRDefault="006157A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48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6412"/>
    </w:tblGrid>
    <w:tr w:rsidR="001B2D99" w:rsidRPr="00257138" w:rsidTr="006157AC">
      <w:trPr>
        <w:trHeight w:val="263"/>
      </w:trPr>
      <w:tc>
        <w:tcPr>
          <w:tcW w:w="8472" w:type="dxa"/>
        </w:tcPr>
        <w:p w:rsidR="001B2D99" w:rsidRPr="00257138" w:rsidRDefault="001B2D99" w:rsidP="003F6CF3">
          <w:pPr>
            <w:pStyle w:val="Footer"/>
          </w:pPr>
          <w:r w:rsidRPr="00257138">
            <w:t>V1.0</w:t>
          </w:r>
          <w:r>
            <w:t>,</w:t>
          </w:r>
          <w:r w:rsidRPr="00257138">
            <w:t xml:space="preserve"> </w:t>
          </w:r>
          <w:r w:rsidR="003F6CF3">
            <w:t>March 2020</w:t>
          </w:r>
        </w:p>
      </w:tc>
      <w:tc>
        <w:tcPr>
          <w:tcW w:w="6412" w:type="dxa"/>
        </w:tcPr>
        <w:p w:rsidR="001B2D99" w:rsidRPr="00257138" w:rsidRDefault="001B2D99" w:rsidP="000B30E5">
          <w:pPr>
            <w:pStyle w:val="Footer"/>
            <w:jc w:val="right"/>
          </w:pPr>
          <w:r w:rsidRPr="00257138">
            <w:t xml:space="preserve">Page </w:t>
          </w:r>
          <w:r>
            <w:fldChar w:fldCharType="begin"/>
          </w:r>
          <w:r>
            <w:instrText xml:space="preserve"> PAGE </w:instrText>
          </w:r>
          <w:r>
            <w:fldChar w:fldCharType="separate"/>
          </w:r>
          <w:r w:rsidR="00F52074">
            <w:rPr>
              <w:noProof/>
            </w:rPr>
            <w:t>16</w:t>
          </w:r>
          <w:r>
            <w:rPr>
              <w:noProof/>
            </w:rPr>
            <w:fldChar w:fldCharType="end"/>
          </w:r>
          <w:r w:rsidRPr="00257138">
            <w:t xml:space="preserve"> of </w:t>
          </w:r>
          <w:r w:rsidR="00F52074">
            <w:fldChar w:fldCharType="begin"/>
          </w:r>
          <w:r w:rsidR="00F52074">
            <w:instrText xml:space="preserve"> NUMPAGES  </w:instrText>
          </w:r>
          <w:r w:rsidR="00F52074">
            <w:fldChar w:fldCharType="separate"/>
          </w:r>
          <w:r w:rsidR="00F52074">
            <w:rPr>
              <w:noProof/>
            </w:rPr>
            <w:t>16</w:t>
          </w:r>
          <w:r w:rsidR="00F52074">
            <w:rPr>
              <w:noProof/>
            </w:rPr>
            <w:fldChar w:fldCharType="end"/>
          </w:r>
        </w:p>
      </w:tc>
    </w:tr>
  </w:tbl>
  <w:p w:rsidR="001B2D99" w:rsidRPr="00826007" w:rsidRDefault="001B2D99" w:rsidP="000B30E5">
    <w:pPr>
      <w:pStyle w:val="Footer"/>
      <w:tabs>
        <w:tab w:val="left" w:pos="7620"/>
        <w:tab w:val="right" w:pos="8504"/>
      </w:tabs>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2D99" w:rsidRPr="008E3C43" w:rsidRDefault="001B2D99" w:rsidP="008E3C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2D99" w:rsidRDefault="001B2D99" w:rsidP="00C40A36">
      <w:pPr>
        <w:spacing w:after="0"/>
      </w:pPr>
      <w:r>
        <w:separator/>
      </w:r>
    </w:p>
  </w:footnote>
  <w:footnote w:type="continuationSeparator" w:id="0">
    <w:p w:rsidR="001B2D99" w:rsidRDefault="001B2D99" w:rsidP="00C40A36">
      <w:pPr>
        <w:spacing w:after="0"/>
      </w:pPr>
      <w:r>
        <w:continuationSeparator/>
      </w:r>
    </w:p>
  </w:footnote>
  <w:footnote w:id="1">
    <w:p w:rsidR="001B2D99" w:rsidRDefault="001B2D99" w:rsidP="00B2102B">
      <w:pPr>
        <w:pStyle w:val="FootnoteText"/>
      </w:pPr>
      <w:r>
        <w:rPr>
          <w:rStyle w:val="FootnoteReference"/>
        </w:rPr>
        <w:footnoteRef/>
      </w:r>
      <w:r>
        <w:t xml:space="preserve"> Australian Government Cost Recovery Guidelines (RMG304)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2D99" w:rsidRDefault="001B2D99" w:rsidP="00C3408D">
    <w:pPr>
      <w:pStyle w:val="Header"/>
    </w:pPr>
    <w:r w:rsidRPr="006855EE">
      <w:t>Medicinal Cannabis Cost Recovery Framework</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1B2D99" w:rsidRPr="002B29B2" w:rsidTr="00FE2AA0">
      <w:trPr>
        <w:trHeight w:hRule="exact" w:val="8845"/>
      </w:trPr>
      <w:tc>
        <w:tcPr>
          <w:tcW w:w="11964" w:type="dxa"/>
        </w:tcPr>
        <w:p w:rsidR="001B2D99" w:rsidRPr="002B29B2" w:rsidRDefault="001B2D99" w:rsidP="00FE2AA0">
          <w:pPr>
            <w:ind w:left="-57"/>
            <w:jc w:val="center"/>
            <w:rPr>
              <w:noProof/>
            </w:rPr>
          </w:pPr>
        </w:p>
      </w:tc>
    </w:tr>
  </w:tbl>
  <w:p w:rsidR="001B2D99" w:rsidRDefault="001B2D99" w:rsidP="006D03E5">
    <w:pPr>
      <w:rPr>
        <w:noProof/>
      </w:rPr>
    </w:pPr>
    <w:r>
      <w:rPr>
        <w:noProof/>
        <w:lang w:eastAsia="en-AU"/>
      </w:rPr>
      <w:drawing>
        <wp:inline distT="0" distB="0" distL="0" distR="0" wp14:anchorId="23207FE1" wp14:editId="30D6B182">
          <wp:extent cx="2375065" cy="730952"/>
          <wp:effectExtent l="0" t="0" r="6350" b="0"/>
          <wp:docPr id="15" name="Picture 15" descr="I:\apps\InDesign\ODC\Logo\Office of Drug Control i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apps\InDesign\ODC\Logo\Office of Drug Control inline.jpg"/>
                  <pic:cNvPicPr>
                    <a:picLocks noChangeAspect="1" noChangeArrowheads="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2396529" cy="737558"/>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2D99" w:rsidRDefault="001B2D9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2D99" w:rsidRDefault="001B2D99" w:rsidP="00C3408D">
    <w:pPr>
      <w:pStyle w:val="Header"/>
    </w:pPr>
    <w:r>
      <w:t>Office of Drug Control</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2D99" w:rsidRPr="00FE501F" w:rsidRDefault="001B2D99" w:rsidP="007F2054">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91407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5AE294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808D7A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8DE368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6C807F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A6A807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8"/>
    <w:multiLevelType w:val="singleLevel"/>
    <w:tmpl w:val="C764E43E"/>
    <w:lvl w:ilvl="0">
      <w:start w:val="1"/>
      <w:numFmt w:val="decimal"/>
      <w:pStyle w:val="ListNumber"/>
      <w:lvlText w:val="%1."/>
      <w:lvlJc w:val="left"/>
      <w:pPr>
        <w:tabs>
          <w:tab w:val="num" w:pos="360"/>
        </w:tabs>
        <w:ind w:left="360" w:hanging="360"/>
      </w:pPr>
    </w:lvl>
  </w:abstractNum>
  <w:abstractNum w:abstractNumId="7"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8" w15:restartNumberingAfterBreak="0">
    <w:nsid w:val="168F13E9"/>
    <w:multiLevelType w:val="multilevel"/>
    <w:tmpl w:val="7B8E9840"/>
    <w:styleLink w:val="ListBullets"/>
    <w:lvl w:ilvl="0">
      <w:start w:val="1"/>
      <w:numFmt w:val="bullet"/>
      <w:pStyle w:val="ListBullet"/>
      <w:lvlText w:val="•"/>
      <w:lvlJc w:val="left"/>
      <w:pPr>
        <w:ind w:left="360" w:hanging="360"/>
      </w:pPr>
      <w:rPr>
        <w:rFonts w:ascii="Arial" w:hAnsi="Arial"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 w15:restartNumberingAfterBreak="0">
    <w:nsid w:val="60B6679C"/>
    <w:multiLevelType w:val="hybridMultilevel"/>
    <w:tmpl w:val="8ED045C0"/>
    <w:lvl w:ilvl="0" w:tplc="6C32124E">
      <w:start w:val="1"/>
      <w:numFmt w:val="bullet"/>
      <w:pStyle w:val="ListBullet3"/>
      <w:lvlText w:val="▪"/>
      <w:lvlJc w:val="left"/>
      <w:pPr>
        <w:ind w:left="1571" w:hanging="360"/>
      </w:pPr>
      <w:rPr>
        <w:rFonts w:ascii="Arial"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num w:numId="1">
    <w:abstractNumId w:val="8"/>
  </w:num>
  <w:num w:numId="2">
    <w:abstractNumId w:val="7"/>
  </w:num>
  <w:num w:numId="3">
    <w:abstractNumId w:val="8"/>
  </w:num>
  <w:num w:numId="4">
    <w:abstractNumId w:val="7"/>
  </w:num>
  <w:num w:numId="5">
    <w:abstractNumId w:val="9"/>
  </w:num>
  <w:num w:numId="6">
    <w:abstractNumId w:val="5"/>
  </w:num>
  <w:num w:numId="7">
    <w:abstractNumId w:val="4"/>
  </w:num>
  <w:num w:numId="8">
    <w:abstractNumId w:val="6"/>
  </w:num>
  <w:num w:numId="9">
    <w:abstractNumId w:val="3"/>
  </w:num>
  <w:num w:numId="10">
    <w:abstractNumId w:val="2"/>
  </w:num>
  <w:num w:numId="11">
    <w:abstractNumId w:val="1"/>
  </w:num>
  <w:num w:numId="12">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69"/>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2529" fill="f" fillcolor="#c6d4e9" strokecolor="#002c47">
      <v:fill color="#c6d4e9" on="f"/>
      <v:stroke color="#002c47"/>
    </o:shapedefaults>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5A4E"/>
    <w:rsid w:val="00002031"/>
    <w:rsid w:val="000040BA"/>
    <w:rsid w:val="00004734"/>
    <w:rsid w:val="00006B22"/>
    <w:rsid w:val="00010E4D"/>
    <w:rsid w:val="0001276A"/>
    <w:rsid w:val="00015483"/>
    <w:rsid w:val="00016BEB"/>
    <w:rsid w:val="00022499"/>
    <w:rsid w:val="00022F13"/>
    <w:rsid w:val="000246AE"/>
    <w:rsid w:val="00025C67"/>
    <w:rsid w:val="00032FFB"/>
    <w:rsid w:val="0005559E"/>
    <w:rsid w:val="000703AB"/>
    <w:rsid w:val="00077775"/>
    <w:rsid w:val="00090471"/>
    <w:rsid w:val="000934A6"/>
    <w:rsid w:val="000A18EA"/>
    <w:rsid w:val="000A3543"/>
    <w:rsid w:val="000A4371"/>
    <w:rsid w:val="000B30E5"/>
    <w:rsid w:val="000B3532"/>
    <w:rsid w:val="000B3A75"/>
    <w:rsid w:val="000B574E"/>
    <w:rsid w:val="000B5E4E"/>
    <w:rsid w:val="000B6CAE"/>
    <w:rsid w:val="000B7084"/>
    <w:rsid w:val="000D0851"/>
    <w:rsid w:val="000D157F"/>
    <w:rsid w:val="000D391B"/>
    <w:rsid w:val="000D3D6D"/>
    <w:rsid w:val="000D4FC7"/>
    <w:rsid w:val="000F0241"/>
    <w:rsid w:val="000F1C73"/>
    <w:rsid w:val="000F1D3F"/>
    <w:rsid w:val="000F4869"/>
    <w:rsid w:val="000F5176"/>
    <w:rsid w:val="000F5978"/>
    <w:rsid w:val="000F5B42"/>
    <w:rsid w:val="000F6E6F"/>
    <w:rsid w:val="001003F2"/>
    <w:rsid w:val="00102BDA"/>
    <w:rsid w:val="0010601F"/>
    <w:rsid w:val="00110EA5"/>
    <w:rsid w:val="00115240"/>
    <w:rsid w:val="00115508"/>
    <w:rsid w:val="001203D7"/>
    <w:rsid w:val="001210F1"/>
    <w:rsid w:val="00125091"/>
    <w:rsid w:val="00125318"/>
    <w:rsid w:val="001305A2"/>
    <w:rsid w:val="00133238"/>
    <w:rsid w:val="00140FE3"/>
    <w:rsid w:val="0014197B"/>
    <w:rsid w:val="0014247A"/>
    <w:rsid w:val="001447CD"/>
    <w:rsid w:val="001500F7"/>
    <w:rsid w:val="001516B1"/>
    <w:rsid w:val="001525B4"/>
    <w:rsid w:val="00156316"/>
    <w:rsid w:val="00165389"/>
    <w:rsid w:val="00165DC3"/>
    <w:rsid w:val="00170ACE"/>
    <w:rsid w:val="001713A3"/>
    <w:rsid w:val="00172A15"/>
    <w:rsid w:val="0017693F"/>
    <w:rsid w:val="0018110E"/>
    <w:rsid w:val="00181684"/>
    <w:rsid w:val="001843C6"/>
    <w:rsid w:val="001850E0"/>
    <w:rsid w:val="0018660B"/>
    <w:rsid w:val="00192AAA"/>
    <w:rsid w:val="001A3190"/>
    <w:rsid w:val="001A525F"/>
    <w:rsid w:val="001B09F9"/>
    <w:rsid w:val="001B2D99"/>
    <w:rsid w:val="001B6448"/>
    <w:rsid w:val="001C25B0"/>
    <w:rsid w:val="001C3A9E"/>
    <w:rsid w:val="001D7224"/>
    <w:rsid w:val="001E07CF"/>
    <w:rsid w:val="001E59F1"/>
    <w:rsid w:val="001F124F"/>
    <w:rsid w:val="001F20F9"/>
    <w:rsid w:val="001F49EB"/>
    <w:rsid w:val="001F6CBA"/>
    <w:rsid w:val="00201D4E"/>
    <w:rsid w:val="00215D48"/>
    <w:rsid w:val="00217091"/>
    <w:rsid w:val="00220B8A"/>
    <w:rsid w:val="00224DA8"/>
    <w:rsid w:val="002257F3"/>
    <w:rsid w:val="00231E8D"/>
    <w:rsid w:val="00233456"/>
    <w:rsid w:val="002339A5"/>
    <w:rsid w:val="00237691"/>
    <w:rsid w:val="00243E6B"/>
    <w:rsid w:val="00244D86"/>
    <w:rsid w:val="00247FB9"/>
    <w:rsid w:val="00257138"/>
    <w:rsid w:val="00257848"/>
    <w:rsid w:val="0027084A"/>
    <w:rsid w:val="00283FE0"/>
    <w:rsid w:val="00284C42"/>
    <w:rsid w:val="00286434"/>
    <w:rsid w:val="00286C59"/>
    <w:rsid w:val="0029069E"/>
    <w:rsid w:val="00290795"/>
    <w:rsid w:val="002924AC"/>
    <w:rsid w:val="002942D1"/>
    <w:rsid w:val="002A0556"/>
    <w:rsid w:val="002A27EE"/>
    <w:rsid w:val="002A5B3A"/>
    <w:rsid w:val="002B1638"/>
    <w:rsid w:val="002B25CB"/>
    <w:rsid w:val="002B29B2"/>
    <w:rsid w:val="002B7D53"/>
    <w:rsid w:val="002C279C"/>
    <w:rsid w:val="002C376C"/>
    <w:rsid w:val="002C6E9C"/>
    <w:rsid w:val="002D5A4E"/>
    <w:rsid w:val="002E193A"/>
    <w:rsid w:val="002E364F"/>
    <w:rsid w:val="002E4C9A"/>
    <w:rsid w:val="002F11F8"/>
    <w:rsid w:val="002F260A"/>
    <w:rsid w:val="002F3338"/>
    <w:rsid w:val="002F3F56"/>
    <w:rsid w:val="002F44B5"/>
    <w:rsid w:val="00300350"/>
    <w:rsid w:val="00301FA3"/>
    <w:rsid w:val="00311AC0"/>
    <w:rsid w:val="00323F14"/>
    <w:rsid w:val="003252DE"/>
    <w:rsid w:val="00331DBB"/>
    <w:rsid w:val="00335C3B"/>
    <w:rsid w:val="003361D1"/>
    <w:rsid w:val="00350236"/>
    <w:rsid w:val="0035146C"/>
    <w:rsid w:val="003521E8"/>
    <w:rsid w:val="00357700"/>
    <w:rsid w:val="0036361E"/>
    <w:rsid w:val="003664BF"/>
    <w:rsid w:val="003728F3"/>
    <w:rsid w:val="00376793"/>
    <w:rsid w:val="003843F6"/>
    <w:rsid w:val="00390900"/>
    <w:rsid w:val="00393398"/>
    <w:rsid w:val="003A2DDF"/>
    <w:rsid w:val="003B362C"/>
    <w:rsid w:val="003B7E39"/>
    <w:rsid w:val="003C58DC"/>
    <w:rsid w:val="003D3B63"/>
    <w:rsid w:val="003D6816"/>
    <w:rsid w:val="003D6B56"/>
    <w:rsid w:val="003E0A89"/>
    <w:rsid w:val="003E3208"/>
    <w:rsid w:val="003F0B04"/>
    <w:rsid w:val="003F2E95"/>
    <w:rsid w:val="003F6CF3"/>
    <w:rsid w:val="0040134E"/>
    <w:rsid w:val="00404B57"/>
    <w:rsid w:val="00406DB9"/>
    <w:rsid w:val="00406E3F"/>
    <w:rsid w:val="00416BCB"/>
    <w:rsid w:val="00431BD6"/>
    <w:rsid w:val="00440A2D"/>
    <w:rsid w:val="00440EAD"/>
    <w:rsid w:val="0045040C"/>
    <w:rsid w:val="004564A7"/>
    <w:rsid w:val="004617BF"/>
    <w:rsid w:val="00473864"/>
    <w:rsid w:val="00476234"/>
    <w:rsid w:val="00483D37"/>
    <w:rsid w:val="004923FF"/>
    <w:rsid w:val="004927EC"/>
    <w:rsid w:val="00494CA4"/>
    <w:rsid w:val="00494E60"/>
    <w:rsid w:val="0049734C"/>
    <w:rsid w:val="004A3084"/>
    <w:rsid w:val="004B7B76"/>
    <w:rsid w:val="004C0070"/>
    <w:rsid w:val="004C100A"/>
    <w:rsid w:val="004C4096"/>
    <w:rsid w:val="004D51A6"/>
    <w:rsid w:val="004F0F38"/>
    <w:rsid w:val="004F1240"/>
    <w:rsid w:val="004F40D8"/>
    <w:rsid w:val="004F484B"/>
    <w:rsid w:val="00501921"/>
    <w:rsid w:val="00514ED1"/>
    <w:rsid w:val="005172A7"/>
    <w:rsid w:val="00523FB1"/>
    <w:rsid w:val="00530354"/>
    <w:rsid w:val="00535D83"/>
    <w:rsid w:val="00541FD8"/>
    <w:rsid w:val="005423EF"/>
    <w:rsid w:val="005434C6"/>
    <w:rsid w:val="00543B39"/>
    <w:rsid w:val="00550096"/>
    <w:rsid w:val="00557FF9"/>
    <w:rsid w:val="00560037"/>
    <w:rsid w:val="005620CB"/>
    <w:rsid w:val="00567A2E"/>
    <w:rsid w:val="005730C5"/>
    <w:rsid w:val="00576378"/>
    <w:rsid w:val="00577E38"/>
    <w:rsid w:val="00584285"/>
    <w:rsid w:val="00585322"/>
    <w:rsid w:val="00593AD1"/>
    <w:rsid w:val="005A1131"/>
    <w:rsid w:val="005C5570"/>
    <w:rsid w:val="005C5FD4"/>
    <w:rsid w:val="005C79A4"/>
    <w:rsid w:val="005D1689"/>
    <w:rsid w:val="005D248B"/>
    <w:rsid w:val="005D5442"/>
    <w:rsid w:val="005D55A3"/>
    <w:rsid w:val="005F458A"/>
    <w:rsid w:val="005F5830"/>
    <w:rsid w:val="005F679D"/>
    <w:rsid w:val="00610D73"/>
    <w:rsid w:val="006157AC"/>
    <w:rsid w:val="00625015"/>
    <w:rsid w:val="00637DC1"/>
    <w:rsid w:val="00640FC3"/>
    <w:rsid w:val="00642020"/>
    <w:rsid w:val="0065200D"/>
    <w:rsid w:val="0065337B"/>
    <w:rsid w:val="0065419D"/>
    <w:rsid w:val="006604D8"/>
    <w:rsid w:val="00664A5B"/>
    <w:rsid w:val="00665F19"/>
    <w:rsid w:val="00667942"/>
    <w:rsid w:val="00680C08"/>
    <w:rsid w:val="006855EE"/>
    <w:rsid w:val="0068741A"/>
    <w:rsid w:val="006931B1"/>
    <w:rsid w:val="006A15C0"/>
    <w:rsid w:val="006A2426"/>
    <w:rsid w:val="006A2A31"/>
    <w:rsid w:val="006A38E4"/>
    <w:rsid w:val="006C1F3B"/>
    <w:rsid w:val="006C3E2A"/>
    <w:rsid w:val="006C43B5"/>
    <w:rsid w:val="006C642F"/>
    <w:rsid w:val="006D03E5"/>
    <w:rsid w:val="006D5D3E"/>
    <w:rsid w:val="006E08B3"/>
    <w:rsid w:val="006E4E00"/>
    <w:rsid w:val="006F1604"/>
    <w:rsid w:val="006F46EA"/>
    <w:rsid w:val="006F572E"/>
    <w:rsid w:val="006F6284"/>
    <w:rsid w:val="006F652C"/>
    <w:rsid w:val="006F6C81"/>
    <w:rsid w:val="00700D4F"/>
    <w:rsid w:val="007046D6"/>
    <w:rsid w:val="00705DB0"/>
    <w:rsid w:val="00706634"/>
    <w:rsid w:val="00706AFE"/>
    <w:rsid w:val="00723BF8"/>
    <w:rsid w:val="00732FEE"/>
    <w:rsid w:val="0074253D"/>
    <w:rsid w:val="0074429B"/>
    <w:rsid w:val="007477F8"/>
    <w:rsid w:val="00753687"/>
    <w:rsid w:val="00753A56"/>
    <w:rsid w:val="0075524A"/>
    <w:rsid w:val="007615BC"/>
    <w:rsid w:val="007622D7"/>
    <w:rsid w:val="00762F05"/>
    <w:rsid w:val="00764FC4"/>
    <w:rsid w:val="007652FF"/>
    <w:rsid w:val="00771329"/>
    <w:rsid w:val="00773EF7"/>
    <w:rsid w:val="00774E1D"/>
    <w:rsid w:val="0077675A"/>
    <w:rsid w:val="00780355"/>
    <w:rsid w:val="00785721"/>
    <w:rsid w:val="00793A59"/>
    <w:rsid w:val="00795DC5"/>
    <w:rsid w:val="007A2162"/>
    <w:rsid w:val="007B3C16"/>
    <w:rsid w:val="007C0F3D"/>
    <w:rsid w:val="007C1AF7"/>
    <w:rsid w:val="007C5EC3"/>
    <w:rsid w:val="007D2AAF"/>
    <w:rsid w:val="007E175B"/>
    <w:rsid w:val="007F17AF"/>
    <w:rsid w:val="007F2054"/>
    <w:rsid w:val="007F4428"/>
    <w:rsid w:val="00816164"/>
    <w:rsid w:val="00821776"/>
    <w:rsid w:val="00826007"/>
    <w:rsid w:val="008320C3"/>
    <w:rsid w:val="008321F5"/>
    <w:rsid w:val="00832369"/>
    <w:rsid w:val="00834660"/>
    <w:rsid w:val="00836BC2"/>
    <w:rsid w:val="008438DE"/>
    <w:rsid w:val="0085641B"/>
    <w:rsid w:val="00856CC3"/>
    <w:rsid w:val="00857136"/>
    <w:rsid w:val="00896018"/>
    <w:rsid w:val="008A2B9D"/>
    <w:rsid w:val="008A5E0B"/>
    <w:rsid w:val="008A6D59"/>
    <w:rsid w:val="008A7095"/>
    <w:rsid w:val="008B4B03"/>
    <w:rsid w:val="008B553E"/>
    <w:rsid w:val="008B596F"/>
    <w:rsid w:val="008C159F"/>
    <w:rsid w:val="008C1623"/>
    <w:rsid w:val="008C51A9"/>
    <w:rsid w:val="008C63C5"/>
    <w:rsid w:val="008C7541"/>
    <w:rsid w:val="008E3C43"/>
    <w:rsid w:val="008F1CCC"/>
    <w:rsid w:val="008F2967"/>
    <w:rsid w:val="008F6EF7"/>
    <w:rsid w:val="00905DB5"/>
    <w:rsid w:val="00916321"/>
    <w:rsid w:val="00917AB3"/>
    <w:rsid w:val="00920330"/>
    <w:rsid w:val="00920FF4"/>
    <w:rsid w:val="009219D7"/>
    <w:rsid w:val="00922D53"/>
    <w:rsid w:val="00923B70"/>
    <w:rsid w:val="0092600B"/>
    <w:rsid w:val="00930237"/>
    <w:rsid w:val="00932BBB"/>
    <w:rsid w:val="0096319D"/>
    <w:rsid w:val="00963C08"/>
    <w:rsid w:val="00964F68"/>
    <w:rsid w:val="009673FC"/>
    <w:rsid w:val="009707B8"/>
    <w:rsid w:val="00974DBB"/>
    <w:rsid w:val="0099110E"/>
    <w:rsid w:val="009A4CED"/>
    <w:rsid w:val="009A5BC7"/>
    <w:rsid w:val="009B1D12"/>
    <w:rsid w:val="009B3475"/>
    <w:rsid w:val="009B416B"/>
    <w:rsid w:val="009B68A6"/>
    <w:rsid w:val="009C4BD5"/>
    <w:rsid w:val="009D059A"/>
    <w:rsid w:val="009D2E04"/>
    <w:rsid w:val="009D7B77"/>
    <w:rsid w:val="009E0BB0"/>
    <w:rsid w:val="009E3FBB"/>
    <w:rsid w:val="009F018D"/>
    <w:rsid w:val="009F0B33"/>
    <w:rsid w:val="009F4A87"/>
    <w:rsid w:val="00A1235B"/>
    <w:rsid w:val="00A14DF7"/>
    <w:rsid w:val="00A224DF"/>
    <w:rsid w:val="00A26E24"/>
    <w:rsid w:val="00A3246D"/>
    <w:rsid w:val="00A36FA7"/>
    <w:rsid w:val="00A4235C"/>
    <w:rsid w:val="00A475B7"/>
    <w:rsid w:val="00A47AF7"/>
    <w:rsid w:val="00A47C3E"/>
    <w:rsid w:val="00A50226"/>
    <w:rsid w:val="00A60BAD"/>
    <w:rsid w:val="00A644D1"/>
    <w:rsid w:val="00A73A8D"/>
    <w:rsid w:val="00A77452"/>
    <w:rsid w:val="00A87334"/>
    <w:rsid w:val="00A92F24"/>
    <w:rsid w:val="00AA2544"/>
    <w:rsid w:val="00AA3EB9"/>
    <w:rsid w:val="00AA7D5A"/>
    <w:rsid w:val="00AB79F0"/>
    <w:rsid w:val="00AC2B40"/>
    <w:rsid w:val="00AC2BB2"/>
    <w:rsid w:val="00AC2C3C"/>
    <w:rsid w:val="00AC3BD9"/>
    <w:rsid w:val="00AC3D45"/>
    <w:rsid w:val="00AD5831"/>
    <w:rsid w:val="00AE5AB2"/>
    <w:rsid w:val="00AE65EB"/>
    <w:rsid w:val="00AF1D94"/>
    <w:rsid w:val="00AF60C5"/>
    <w:rsid w:val="00B009C6"/>
    <w:rsid w:val="00B00ACB"/>
    <w:rsid w:val="00B01548"/>
    <w:rsid w:val="00B01551"/>
    <w:rsid w:val="00B147DA"/>
    <w:rsid w:val="00B2102B"/>
    <w:rsid w:val="00B21D29"/>
    <w:rsid w:val="00B21FC5"/>
    <w:rsid w:val="00B23323"/>
    <w:rsid w:val="00B24FF5"/>
    <w:rsid w:val="00B25034"/>
    <w:rsid w:val="00B33863"/>
    <w:rsid w:val="00B37D17"/>
    <w:rsid w:val="00B4175E"/>
    <w:rsid w:val="00B510E1"/>
    <w:rsid w:val="00B54C25"/>
    <w:rsid w:val="00B6148B"/>
    <w:rsid w:val="00B76B91"/>
    <w:rsid w:val="00B87BB7"/>
    <w:rsid w:val="00B946A9"/>
    <w:rsid w:val="00B9484C"/>
    <w:rsid w:val="00B94CFB"/>
    <w:rsid w:val="00BB246F"/>
    <w:rsid w:val="00BB44D4"/>
    <w:rsid w:val="00BC1CAB"/>
    <w:rsid w:val="00BC622A"/>
    <w:rsid w:val="00BD0B28"/>
    <w:rsid w:val="00BE0A78"/>
    <w:rsid w:val="00BE243C"/>
    <w:rsid w:val="00BE79F0"/>
    <w:rsid w:val="00BF046D"/>
    <w:rsid w:val="00BF43F2"/>
    <w:rsid w:val="00BF5D04"/>
    <w:rsid w:val="00C00C78"/>
    <w:rsid w:val="00C13563"/>
    <w:rsid w:val="00C14835"/>
    <w:rsid w:val="00C1617C"/>
    <w:rsid w:val="00C23477"/>
    <w:rsid w:val="00C24FC6"/>
    <w:rsid w:val="00C33993"/>
    <w:rsid w:val="00C3408D"/>
    <w:rsid w:val="00C404A6"/>
    <w:rsid w:val="00C40A36"/>
    <w:rsid w:val="00C44419"/>
    <w:rsid w:val="00C45E7B"/>
    <w:rsid w:val="00C471B1"/>
    <w:rsid w:val="00C4743E"/>
    <w:rsid w:val="00C50E5C"/>
    <w:rsid w:val="00C6316B"/>
    <w:rsid w:val="00C634A9"/>
    <w:rsid w:val="00C66722"/>
    <w:rsid w:val="00C71313"/>
    <w:rsid w:val="00C7475B"/>
    <w:rsid w:val="00C76805"/>
    <w:rsid w:val="00C772FF"/>
    <w:rsid w:val="00C801AF"/>
    <w:rsid w:val="00C80256"/>
    <w:rsid w:val="00C85953"/>
    <w:rsid w:val="00C86EFC"/>
    <w:rsid w:val="00C87DC4"/>
    <w:rsid w:val="00C9195A"/>
    <w:rsid w:val="00CA7F9C"/>
    <w:rsid w:val="00CB6BC0"/>
    <w:rsid w:val="00CB73C5"/>
    <w:rsid w:val="00CC1B7C"/>
    <w:rsid w:val="00CC2BF7"/>
    <w:rsid w:val="00CC727F"/>
    <w:rsid w:val="00CD0C77"/>
    <w:rsid w:val="00CD1F02"/>
    <w:rsid w:val="00CD30CC"/>
    <w:rsid w:val="00CD6FCC"/>
    <w:rsid w:val="00CE5067"/>
    <w:rsid w:val="00CE58CA"/>
    <w:rsid w:val="00CE5BB0"/>
    <w:rsid w:val="00CF15C3"/>
    <w:rsid w:val="00CF2B6F"/>
    <w:rsid w:val="00CF4791"/>
    <w:rsid w:val="00D017ED"/>
    <w:rsid w:val="00D11F5C"/>
    <w:rsid w:val="00D153B1"/>
    <w:rsid w:val="00D20C54"/>
    <w:rsid w:val="00D224FE"/>
    <w:rsid w:val="00D229BA"/>
    <w:rsid w:val="00D25F22"/>
    <w:rsid w:val="00D27857"/>
    <w:rsid w:val="00D30526"/>
    <w:rsid w:val="00D3646E"/>
    <w:rsid w:val="00D52A48"/>
    <w:rsid w:val="00D55652"/>
    <w:rsid w:val="00D64401"/>
    <w:rsid w:val="00D6493E"/>
    <w:rsid w:val="00D85417"/>
    <w:rsid w:val="00DA1124"/>
    <w:rsid w:val="00DA24C7"/>
    <w:rsid w:val="00DA381C"/>
    <w:rsid w:val="00DA4CD9"/>
    <w:rsid w:val="00DC0486"/>
    <w:rsid w:val="00DD0D3C"/>
    <w:rsid w:val="00DD75A3"/>
    <w:rsid w:val="00DD76DE"/>
    <w:rsid w:val="00DE02AE"/>
    <w:rsid w:val="00DE6A0C"/>
    <w:rsid w:val="00DE6C04"/>
    <w:rsid w:val="00DF1D7F"/>
    <w:rsid w:val="00DF45B9"/>
    <w:rsid w:val="00DF6BE8"/>
    <w:rsid w:val="00E02FB4"/>
    <w:rsid w:val="00E1198B"/>
    <w:rsid w:val="00E11E4D"/>
    <w:rsid w:val="00E1340C"/>
    <w:rsid w:val="00E177F4"/>
    <w:rsid w:val="00E20571"/>
    <w:rsid w:val="00E21651"/>
    <w:rsid w:val="00E22953"/>
    <w:rsid w:val="00E235F7"/>
    <w:rsid w:val="00E239D4"/>
    <w:rsid w:val="00E30C88"/>
    <w:rsid w:val="00E32A5C"/>
    <w:rsid w:val="00E40B22"/>
    <w:rsid w:val="00E4588F"/>
    <w:rsid w:val="00E46DA3"/>
    <w:rsid w:val="00E47660"/>
    <w:rsid w:val="00E67774"/>
    <w:rsid w:val="00E8027B"/>
    <w:rsid w:val="00EA0D02"/>
    <w:rsid w:val="00EA16DE"/>
    <w:rsid w:val="00EA1F09"/>
    <w:rsid w:val="00EA406B"/>
    <w:rsid w:val="00EA7E1D"/>
    <w:rsid w:val="00EB0798"/>
    <w:rsid w:val="00EB40AD"/>
    <w:rsid w:val="00EB5622"/>
    <w:rsid w:val="00EB586E"/>
    <w:rsid w:val="00EB5FC8"/>
    <w:rsid w:val="00ED555A"/>
    <w:rsid w:val="00ED5A41"/>
    <w:rsid w:val="00EF17D1"/>
    <w:rsid w:val="00EF3F86"/>
    <w:rsid w:val="00EF578B"/>
    <w:rsid w:val="00EF6895"/>
    <w:rsid w:val="00F033EC"/>
    <w:rsid w:val="00F04F68"/>
    <w:rsid w:val="00F12670"/>
    <w:rsid w:val="00F14B27"/>
    <w:rsid w:val="00F2301F"/>
    <w:rsid w:val="00F27030"/>
    <w:rsid w:val="00F274A2"/>
    <w:rsid w:val="00F31011"/>
    <w:rsid w:val="00F3148D"/>
    <w:rsid w:val="00F35298"/>
    <w:rsid w:val="00F3529E"/>
    <w:rsid w:val="00F401EF"/>
    <w:rsid w:val="00F427F0"/>
    <w:rsid w:val="00F47E37"/>
    <w:rsid w:val="00F51E1E"/>
    <w:rsid w:val="00F52074"/>
    <w:rsid w:val="00F52620"/>
    <w:rsid w:val="00F640B6"/>
    <w:rsid w:val="00F65CAB"/>
    <w:rsid w:val="00F71E1E"/>
    <w:rsid w:val="00F80E40"/>
    <w:rsid w:val="00F859D2"/>
    <w:rsid w:val="00F8709D"/>
    <w:rsid w:val="00F9022D"/>
    <w:rsid w:val="00F97544"/>
    <w:rsid w:val="00FA43E5"/>
    <w:rsid w:val="00FA5B82"/>
    <w:rsid w:val="00FA639E"/>
    <w:rsid w:val="00FB5F97"/>
    <w:rsid w:val="00FC03C8"/>
    <w:rsid w:val="00FC1750"/>
    <w:rsid w:val="00FC25E4"/>
    <w:rsid w:val="00FC4EF7"/>
    <w:rsid w:val="00FE088B"/>
    <w:rsid w:val="00FE1DEE"/>
    <w:rsid w:val="00FE206C"/>
    <w:rsid w:val="00FE2AA0"/>
    <w:rsid w:val="00FE3DAA"/>
    <w:rsid w:val="00FE501F"/>
    <w:rsid w:val="00FF2126"/>
    <w:rsid w:val="00FF2993"/>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2529" fill="f" fillcolor="#c6d4e9" strokecolor="#002c47">
      <v:fill color="#c6d4e9" on="f"/>
      <v:stroke color="#002c47"/>
    </o:shapedefaults>
    <o:shapelayout v:ext="edit">
      <o:idmap v:ext="edit" data="1"/>
    </o:shapelayout>
  </w:shapeDefaults>
  <w:decimalSymbol w:val="."/>
  <w:listSeparator w:val=","/>
  <w15:docId w15:val="{A7DD0BC7-F8E5-4A6B-A367-0B1680880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0"/>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F52620"/>
    <w:pPr>
      <w:spacing w:before="120" w:after="180" w:line="240" w:lineRule="atLeast"/>
    </w:pPr>
    <w:rPr>
      <w:rFonts w:ascii="Segoe UI" w:hAnsi="Segoe UI"/>
      <w:sz w:val="22"/>
      <w:lang w:eastAsia="en-US"/>
    </w:rPr>
  </w:style>
  <w:style w:type="paragraph" w:styleId="Heading1">
    <w:name w:val="heading 1"/>
    <w:basedOn w:val="Normal"/>
    <w:next w:val="Normal"/>
    <w:link w:val="Heading1Char"/>
    <w:rsid w:val="00F401EF"/>
    <w:pPr>
      <w:keepNext/>
      <w:keepLines/>
      <w:spacing w:before="360" w:after="240"/>
      <w:outlineLvl w:val="0"/>
    </w:pPr>
    <w:rPr>
      <w:rFonts w:ascii="Arial" w:eastAsia="Times New Roman" w:hAnsi="Arial"/>
      <w:b/>
      <w:bCs/>
      <w:sz w:val="48"/>
      <w:szCs w:val="48"/>
    </w:rPr>
  </w:style>
  <w:style w:type="paragraph" w:styleId="Heading2">
    <w:name w:val="heading 2"/>
    <w:basedOn w:val="Normal"/>
    <w:next w:val="Normal"/>
    <w:link w:val="Heading2Char"/>
    <w:qFormat/>
    <w:rsid w:val="001203D7"/>
    <w:pPr>
      <w:keepNext/>
      <w:keepLines/>
      <w:spacing w:before="240" w:after="120"/>
      <w:outlineLvl w:val="1"/>
    </w:pPr>
    <w:rPr>
      <w:rFonts w:ascii="Segoe UI Semibold" w:eastAsia="Times New Roman" w:hAnsi="Segoe UI Semibold"/>
      <w:b/>
      <w:bCs/>
      <w:color w:val="3A5772"/>
      <w:sz w:val="28"/>
      <w:szCs w:val="38"/>
    </w:rPr>
  </w:style>
  <w:style w:type="paragraph" w:styleId="Heading3">
    <w:name w:val="heading 3"/>
    <w:basedOn w:val="Normal"/>
    <w:next w:val="Normal"/>
    <w:link w:val="Heading3Char"/>
    <w:qFormat/>
    <w:rsid w:val="00D52A48"/>
    <w:pPr>
      <w:keepNext/>
      <w:keepLines/>
      <w:spacing w:before="240" w:after="120"/>
      <w:outlineLvl w:val="2"/>
    </w:pPr>
    <w:rPr>
      <w:rFonts w:ascii="Segoe UI Semibold" w:eastAsia="Times New Roman" w:hAnsi="Segoe UI Semibold"/>
      <w:bCs/>
      <w:sz w:val="24"/>
      <w:szCs w:val="32"/>
    </w:rPr>
  </w:style>
  <w:style w:type="paragraph" w:styleId="Heading4">
    <w:name w:val="heading 4"/>
    <w:basedOn w:val="Normal"/>
    <w:next w:val="Normal"/>
    <w:link w:val="Heading4Char"/>
    <w:qFormat/>
    <w:rsid w:val="00D52A48"/>
    <w:pPr>
      <w:keepNext/>
      <w:keepLines/>
      <w:spacing w:after="120"/>
      <w:outlineLvl w:val="3"/>
    </w:pPr>
    <w:rPr>
      <w:bCs/>
      <w:i/>
      <w:szCs w:val="26"/>
    </w:rPr>
  </w:style>
  <w:style w:type="paragraph" w:styleId="Heading5">
    <w:name w:val="heading 5"/>
    <w:basedOn w:val="Normal"/>
    <w:next w:val="Normal"/>
    <w:link w:val="Heading5Char"/>
    <w:uiPriority w:val="9"/>
    <w:rsid w:val="00D52A48"/>
    <w:pPr>
      <w:keepNext/>
      <w:keepLines/>
      <w:spacing w:after="120"/>
      <w:outlineLvl w:val="4"/>
    </w:pPr>
    <w:rPr>
      <w:rFonts w:eastAsia="Times New Roman"/>
      <w:bCs/>
      <w:color w:val="001523"/>
      <w:sz w:val="20"/>
      <w:szCs w:val="26"/>
    </w:rPr>
  </w:style>
  <w:style w:type="paragraph" w:styleId="Heading6">
    <w:name w:val="heading 6"/>
    <w:basedOn w:val="Normal"/>
    <w:next w:val="Normal"/>
    <w:link w:val="Heading6Char"/>
    <w:uiPriority w:val="9"/>
    <w:rsid w:val="00F401EF"/>
    <w:pPr>
      <w:keepNext/>
      <w:keepLines/>
      <w:spacing w:before="240" w:after="120"/>
      <w:outlineLvl w:val="5"/>
    </w:pPr>
    <w:rPr>
      <w:rFonts w:eastAsia="Times New Roman"/>
      <w:b/>
      <w:bCs/>
      <w:i/>
      <w:szCs w:val="21"/>
    </w:rPr>
  </w:style>
  <w:style w:type="paragraph" w:styleId="Heading7">
    <w:name w:val="heading 7"/>
    <w:basedOn w:val="Normal"/>
    <w:next w:val="Normal"/>
    <w:link w:val="Heading7Char"/>
    <w:uiPriority w:val="9"/>
    <w:rsid w:val="00F401EF"/>
    <w:pPr>
      <w:keepNext/>
      <w:keepLines/>
      <w:spacing w:before="240" w:after="60" w:line="180" w:lineRule="atLeast"/>
      <w:outlineLvl w:val="6"/>
    </w:pPr>
    <w:rPr>
      <w:rFonts w:eastAsia="Times New Roman"/>
      <w:bCs/>
      <w:i/>
      <w:szCs w:val="22"/>
    </w:rPr>
  </w:style>
  <w:style w:type="paragraph" w:styleId="Heading8">
    <w:name w:val="heading 8"/>
    <w:basedOn w:val="Normal"/>
    <w:next w:val="Normal"/>
    <w:link w:val="Heading8Char"/>
    <w:uiPriority w:val="9"/>
    <w:semiHidden/>
    <w:unhideWhenUsed/>
    <w:qFormat/>
    <w:rsid w:val="00E8027B"/>
    <w:pPr>
      <w:keepNext/>
      <w:keepLines/>
      <w:spacing w:before="40" w:after="0"/>
      <w:outlineLvl w:val="7"/>
    </w:pPr>
    <w:rPr>
      <w:rFonts w:asciiTheme="majorHAnsi" w:eastAsiaTheme="majorEastAsia" w:hAnsiTheme="majorHAnsi" w:cstheme="majorBidi"/>
      <w:color w:val="00558A" w:themeColor="text1" w:themeTint="D8"/>
      <w:sz w:val="21"/>
      <w:szCs w:val="21"/>
    </w:rPr>
  </w:style>
  <w:style w:type="paragraph" w:styleId="Heading9">
    <w:name w:val="heading 9"/>
    <w:basedOn w:val="Normal"/>
    <w:next w:val="Normal"/>
    <w:link w:val="Heading9Char"/>
    <w:uiPriority w:val="9"/>
    <w:semiHidden/>
    <w:unhideWhenUsed/>
    <w:qFormat/>
    <w:rsid w:val="00E8027B"/>
    <w:pPr>
      <w:keepNext/>
      <w:keepLines/>
      <w:spacing w:before="40" w:after="0"/>
      <w:outlineLvl w:val="8"/>
    </w:pPr>
    <w:rPr>
      <w:rFonts w:asciiTheme="majorHAnsi" w:eastAsiaTheme="majorEastAsia" w:hAnsiTheme="majorHAnsi" w:cstheme="majorBidi"/>
      <w:i/>
      <w:iCs/>
      <w:color w:val="00558A"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B73C5"/>
    <w:rPr>
      <w:rFonts w:ascii="Arial" w:eastAsia="Times New Roman" w:hAnsi="Arial"/>
      <w:b/>
      <w:bCs/>
      <w:sz w:val="48"/>
      <w:szCs w:val="48"/>
      <w:lang w:eastAsia="en-US"/>
    </w:rPr>
  </w:style>
  <w:style w:type="character" w:customStyle="1" w:styleId="Heading2Char">
    <w:name w:val="Heading 2 Char"/>
    <w:basedOn w:val="DefaultParagraphFont"/>
    <w:link w:val="Heading2"/>
    <w:rsid w:val="001203D7"/>
    <w:rPr>
      <w:rFonts w:ascii="Segoe UI Semibold" w:eastAsia="Times New Roman" w:hAnsi="Segoe UI Semibold"/>
      <w:b/>
      <w:bCs/>
      <w:color w:val="3A5772"/>
      <w:sz w:val="28"/>
      <w:szCs w:val="38"/>
      <w:lang w:eastAsia="en-US"/>
    </w:rPr>
  </w:style>
  <w:style w:type="character" w:customStyle="1" w:styleId="Heading3Char">
    <w:name w:val="Heading 3 Char"/>
    <w:basedOn w:val="DefaultParagraphFont"/>
    <w:link w:val="Heading3"/>
    <w:rsid w:val="00D52A48"/>
    <w:rPr>
      <w:rFonts w:ascii="Segoe UI Semibold" w:eastAsia="Times New Roman" w:hAnsi="Segoe UI Semibold"/>
      <w:bCs/>
      <w:sz w:val="24"/>
      <w:szCs w:val="32"/>
      <w:lang w:eastAsia="en-US"/>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Date">
    <w:name w:val="Date"/>
    <w:basedOn w:val="Normal"/>
    <w:next w:val="Normal"/>
    <w:link w:val="DateChar"/>
    <w:uiPriority w:val="99"/>
    <w:rsid w:val="00DD0D3C"/>
    <w:pPr>
      <w:pBdr>
        <w:top w:val="single" w:sz="4" w:space="1" w:color="auto"/>
      </w:pBdr>
      <w:spacing w:before="840" w:after="0"/>
      <w:jc w:val="right"/>
    </w:pPr>
    <w:rPr>
      <w:rFonts w:ascii="Segoe UI Semibold" w:hAnsi="Segoe UI Semibold"/>
      <w:sz w:val="24"/>
    </w:rPr>
  </w:style>
  <w:style w:type="character" w:customStyle="1" w:styleId="DateChar">
    <w:name w:val="Date Char"/>
    <w:basedOn w:val="DefaultParagraphFont"/>
    <w:link w:val="Date"/>
    <w:uiPriority w:val="99"/>
    <w:rsid w:val="00DD0D3C"/>
    <w:rPr>
      <w:rFonts w:ascii="Segoe UI Semibold" w:hAnsi="Segoe UI Semibold"/>
      <w:sz w:val="24"/>
      <w:lang w:eastAsia="en-US"/>
    </w:rPr>
  </w:style>
  <w:style w:type="character" w:customStyle="1" w:styleId="Heading4Char">
    <w:name w:val="Heading 4 Char"/>
    <w:basedOn w:val="DefaultParagraphFont"/>
    <w:link w:val="Heading4"/>
    <w:rsid w:val="00D52A48"/>
    <w:rPr>
      <w:rFonts w:ascii="Segoe UI" w:hAnsi="Segoe UI"/>
      <w:bCs/>
      <w:i/>
      <w:sz w:val="22"/>
      <w:szCs w:val="26"/>
      <w:lang w:eastAsia="en-US"/>
    </w:rPr>
  </w:style>
  <w:style w:type="paragraph" w:customStyle="1" w:styleId="FlowChartWhiteHeading">
    <w:name w:val="Flow Chart White Heading"/>
    <w:basedOn w:val="Normal"/>
    <w:semiHidden/>
    <w:unhideWhenUsed/>
    <w:rsid w:val="001D7224"/>
    <w:pPr>
      <w:jc w:val="center"/>
    </w:pPr>
    <w:rPr>
      <w:rFonts w:ascii="Arial" w:hAnsi="Arial"/>
      <w:b/>
      <w:color w:val="FFFFFF"/>
    </w:rPr>
  </w:style>
  <w:style w:type="paragraph" w:customStyle="1" w:styleId="FlowChartBlackHeading">
    <w:name w:val="Flow Chart Black Heading"/>
    <w:basedOn w:val="FlowChartWhiteHeading"/>
    <w:semiHidden/>
    <w:unhideWhenUsed/>
    <w:rsid w:val="001D7224"/>
    <w:rPr>
      <w:color w:val="auto"/>
    </w:rPr>
  </w:style>
  <w:style w:type="paragraph" w:customStyle="1" w:styleId="FlowChartWhiteText">
    <w:name w:val="Flow Chart White Text"/>
    <w:basedOn w:val="Normal"/>
    <w:semiHidden/>
    <w:unhideWhenUsed/>
    <w:rsid w:val="00F3148D"/>
    <w:pPr>
      <w:spacing w:after="0"/>
      <w:jc w:val="center"/>
    </w:pPr>
    <w:rPr>
      <w:color w:val="FFFFFF"/>
    </w:rPr>
  </w:style>
  <w:style w:type="paragraph" w:customStyle="1" w:styleId="FlowchartText">
    <w:name w:val="Flowchart Text"/>
    <w:basedOn w:val="Normal"/>
    <w:semiHidden/>
    <w:unhideWhenUsed/>
    <w:rsid w:val="005A1131"/>
    <w:pPr>
      <w:jc w:val="center"/>
    </w:pPr>
    <w:rPr>
      <w:rFonts w:ascii="Arial" w:hAnsi="Arial"/>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F401EF"/>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257138"/>
    <w:rPr>
      <w:sz w:val="17"/>
      <w:lang w:eastAsia="en-US"/>
    </w:rPr>
  </w:style>
  <w:style w:type="paragraph" w:styleId="Header">
    <w:name w:val="header"/>
    <w:basedOn w:val="Normal"/>
    <w:link w:val="HeaderChar"/>
    <w:uiPriority w:val="99"/>
    <w:rsid w:val="00F401EF"/>
    <w:pPr>
      <w:pBdr>
        <w:bottom w:val="single" w:sz="4" w:space="3" w:color="auto"/>
      </w:pBdr>
      <w:tabs>
        <w:tab w:val="center" w:pos="4513"/>
        <w:tab w:val="right" w:pos="9026"/>
      </w:tabs>
      <w:spacing w:before="0" w:after="0" w:line="240" w:lineRule="auto"/>
      <w:jc w:val="right"/>
    </w:pPr>
    <w:rPr>
      <w:sz w:val="17"/>
    </w:rPr>
  </w:style>
  <w:style w:type="character" w:customStyle="1" w:styleId="HeaderChar">
    <w:name w:val="Header Char"/>
    <w:basedOn w:val="DefaultParagraphFont"/>
    <w:link w:val="Header"/>
    <w:uiPriority w:val="99"/>
    <w:rsid w:val="00F3148D"/>
    <w:rPr>
      <w:sz w:val="17"/>
      <w:lang w:eastAsia="en-US"/>
    </w:rPr>
  </w:style>
  <w:style w:type="character" w:customStyle="1" w:styleId="Heading5Char">
    <w:name w:val="Heading 5 Char"/>
    <w:basedOn w:val="DefaultParagraphFont"/>
    <w:link w:val="Heading5"/>
    <w:uiPriority w:val="9"/>
    <w:rsid w:val="00D52A48"/>
    <w:rPr>
      <w:rFonts w:ascii="Segoe UI" w:eastAsia="Times New Roman" w:hAnsi="Segoe UI"/>
      <w:bCs/>
      <w:color w:val="001523"/>
      <w:szCs w:val="26"/>
      <w:lang w:eastAsia="en-US"/>
    </w:rPr>
  </w:style>
  <w:style w:type="character" w:customStyle="1" w:styleId="Heading6Char">
    <w:name w:val="Heading 6 Char"/>
    <w:basedOn w:val="DefaultParagraphFont"/>
    <w:link w:val="Heading6"/>
    <w:uiPriority w:val="9"/>
    <w:rsid w:val="000D157F"/>
    <w:rPr>
      <w:rFonts w:eastAsia="Times New Roman"/>
      <w:b/>
      <w:bCs/>
      <w:i/>
      <w:sz w:val="22"/>
      <w:szCs w:val="21"/>
      <w:lang w:eastAsia="en-US"/>
    </w:rPr>
  </w:style>
  <w:style w:type="character" w:customStyle="1" w:styleId="Heading7Char">
    <w:name w:val="Heading 7 Char"/>
    <w:basedOn w:val="DefaultParagraphFont"/>
    <w:link w:val="Heading7"/>
    <w:uiPriority w:val="9"/>
    <w:rsid w:val="000D157F"/>
    <w:rPr>
      <w:rFonts w:eastAsia="Times New Roman"/>
      <w:bCs/>
      <w:i/>
      <w:sz w:val="22"/>
      <w:szCs w:val="22"/>
      <w:lang w:eastAsia="en-US"/>
    </w:rPr>
  </w:style>
  <w:style w:type="character" w:styleId="Hyperlink">
    <w:name w:val="Hyperlink"/>
    <w:basedOn w:val="DefaultParagraphFont"/>
    <w:uiPriority w:val="99"/>
    <w:unhideWhenUsed/>
    <w:rsid w:val="00F401EF"/>
    <w:rPr>
      <w:color w:val="0000FF"/>
      <w:u w:val="single"/>
    </w:rPr>
  </w:style>
  <w:style w:type="paragraph" w:customStyle="1" w:styleId="LegalCopy">
    <w:name w:val="Legal Copy"/>
    <w:basedOn w:val="Footer"/>
    <w:rsid w:val="00A1235B"/>
  </w:style>
  <w:style w:type="paragraph" w:customStyle="1" w:styleId="LegalSubheading">
    <w:name w:val="Legal Subheading"/>
    <w:next w:val="LegalCopy"/>
    <w:rsid w:val="00FE088B"/>
    <w:rPr>
      <w:rFonts w:ascii="Segoe UI Semibold" w:hAnsi="Segoe UI Semibold"/>
      <w:sz w:val="22"/>
      <w:lang w:eastAsia="en-US"/>
    </w:rPr>
  </w:style>
  <w:style w:type="table" w:styleId="LightShading-Accent2">
    <w:name w:val="Light Shading Accent 2"/>
    <w:basedOn w:val="TableNormal"/>
    <w:uiPriority w:val="60"/>
    <w:rsid w:val="00F3148D"/>
    <w:rPr>
      <w:rFonts w:eastAsia="Calibri"/>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F52074"/>
    <w:pPr>
      <w:numPr>
        <w:numId w:val="1"/>
      </w:numPr>
    </w:pPr>
  </w:style>
  <w:style w:type="paragraph" w:styleId="ListBullet2">
    <w:name w:val="List Bullet 2"/>
    <w:basedOn w:val="Normal"/>
    <w:uiPriority w:val="2"/>
    <w:qFormat/>
    <w:rsid w:val="009D059A"/>
    <w:pPr>
      <w:numPr>
        <w:ilvl w:val="1"/>
        <w:numId w:val="3"/>
      </w:numPr>
      <w:ind w:left="850" w:hanging="425"/>
    </w:pPr>
  </w:style>
  <w:style w:type="paragraph" w:styleId="ListBullet3">
    <w:name w:val="List Bullet 3"/>
    <w:basedOn w:val="Normal"/>
    <w:uiPriority w:val="2"/>
    <w:qFormat/>
    <w:rsid w:val="00C9195A"/>
    <w:pPr>
      <w:numPr>
        <w:numId w:val="5"/>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rPr>
      <w:rFonts w:eastAsia="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umberbullet0">
    <w:name w:val="Number bullet"/>
    <w:basedOn w:val="ListBullet"/>
    <w:uiPriority w:val="3"/>
    <w:qFormat/>
    <w:rsid w:val="00F401EF"/>
    <w:pPr>
      <w:numPr>
        <w:numId w:val="4"/>
      </w:numPr>
    </w:pPr>
  </w:style>
  <w:style w:type="paragraph" w:customStyle="1" w:styleId="Numberbullet2">
    <w:name w:val="Number bullet 2"/>
    <w:basedOn w:val="ListBullet2"/>
    <w:uiPriority w:val="3"/>
    <w:qFormat/>
    <w:rsid w:val="00F401EF"/>
    <w:pPr>
      <w:numPr>
        <w:numId w:val="4"/>
      </w:numPr>
    </w:pPr>
  </w:style>
  <w:style w:type="paragraph" w:customStyle="1" w:styleId="Numberbullet3">
    <w:name w:val="Number bullet 3"/>
    <w:basedOn w:val="ListBullet3"/>
    <w:uiPriority w:val="3"/>
    <w:qFormat/>
    <w:rsid w:val="00F401EF"/>
    <w:pPr>
      <w:numPr>
        <w:numId w:val="0"/>
      </w:numPr>
      <w:ind w:left="425" w:hanging="425"/>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401EF"/>
    <w:pPr>
      <w:spacing w:before="40" w:after="0"/>
      <w:ind w:left="170" w:hanging="170"/>
    </w:pPr>
    <w:rPr>
      <w:sz w:val="19"/>
    </w:rPr>
  </w:style>
  <w:style w:type="paragraph" w:styleId="Subtitle">
    <w:name w:val="Subtitle"/>
    <w:basedOn w:val="Normal"/>
    <w:link w:val="SubtitleChar"/>
    <w:uiPriority w:val="11"/>
    <w:rsid w:val="00905DB5"/>
    <w:pPr>
      <w:numPr>
        <w:ilvl w:val="1"/>
      </w:numPr>
      <w:spacing w:before="480" w:after="240"/>
      <w:ind w:left="1247"/>
    </w:pPr>
    <w:rPr>
      <w:rFonts w:ascii="Segoe UI Semibold" w:eastAsia="Times New Roman" w:hAnsi="Segoe UI Semibold"/>
      <w:bCs/>
      <w:iCs/>
      <w:color w:val="505050"/>
      <w:sz w:val="28"/>
      <w:szCs w:val="24"/>
    </w:rPr>
  </w:style>
  <w:style w:type="character" w:customStyle="1" w:styleId="SubtitleChar">
    <w:name w:val="Subtitle Char"/>
    <w:basedOn w:val="DefaultParagraphFont"/>
    <w:link w:val="Subtitle"/>
    <w:uiPriority w:val="11"/>
    <w:rsid w:val="00905DB5"/>
    <w:rPr>
      <w:rFonts w:ascii="Segoe UI Semibold" w:eastAsia="Times New Roman" w:hAnsi="Segoe UI Semibold"/>
      <w:bCs/>
      <w:iCs/>
      <w:color w:val="505050"/>
      <w:sz w:val="28"/>
      <w:szCs w:val="24"/>
      <w:lang w:eastAsia="en-US"/>
    </w:rPr>
  </w:style>
  <w:style w:type="table" w:styleId="TableGrid">
    <w:name w:val="Table Grid"/>
    <w:basedOn w:val="TableNormal"/>
    <w:uiPriority w:val="59"/>
    <w:rsid w:val="00F3148D"/>
    <w:rPr>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ODC">
    <w:name w:val="Table ODC"/>
    <w:basedOn w:val="TableNormal"/>
    <w:uiPriority w:val="99"/>
    <w:qFormat/>
    <w:rsid w:val="00C00C78"/>
    <w:pPr>
      <w:spacing w:before="100" w:after="100" w:line="240" w:lineRule="atLeast"/>
    </w:pPr>
    <w:rPr>
      <w:rFonts w:ascii="Segoe UI" w:hAnsi="Segoe UI"/>
      <w:color w:val="000000"/>
      <w:sz w:val="22"/>
      <w:szCs w:val="21"/>
    </w:rPr>
    <w:tblPr>
      <w:tblStyleRowBandSize w:val="1"/>
    </w:tblPr>
    <w:trPr>
      <w:cantSplit/>
    </w:trPr>
    <w:tcPr>
      <w:shd w:val="clear" w:color="auto" w:fill="auto"/>
    </w:tcPr>
    <w:tblStylePr w:type="firstRow">
      <w:pPr>
        <w:keepNext/>
        <w:wordWrap/>
        <w:spacing w:beforeLines="0" w:before="60" w:beforeAutospacing="0" w:afterLines="0" w:after="60" w:afterAutospacing="0"/>
        <w:jc w:val="left"/>
      </w:pPr>
      <w:rPr>
        <w:rFonts w:ascii="Segoe UI" w:hAnsi="Segoe UI"/>
        <w:b/>
        <w:i w:val="0"/>
        <w:color w:val="auto"/>
        <w:sz w:val="22"/>
      </w:rPr>
      <w:tblPr/>
      <w:trPr>
        <w:cantSplit w:val="0"/>
        <w:tblHeader/>
      </w:trPr>
      <w:tcPr>
        <w:tcBorders>
          <w:top w:val="single" w:sz="8" w:space="0" w:color="002C47"/>
          <w:left w:val="nil"/>
          <w:bottom w:val="single" w:sz="8" w:space="0" w:color="002C47"/>
          <w:right w:val="nil"/>
          <w:insideH w:val="nil"/>
          <w:insideV w:val="nil"/>
          <w:tl2br w:val="nil"/>
          <w:tr2bl w:val="nil"/>
        </w:tcBorders>
        <w:shd w:val="clear" w:color="auto" w:fill="CFDCE7"/>
      </w:tcPr>
    </w:tblStylePr>
    <w:tblStylePr w:type="lastRow">
      <w:tblPr/>
      <w:tcPr>
        <w:tcBorders>
          <w:bottom w:val="single" w:sz="8" w:space="0" w:color="002C47"/>
        </w:tcBorders>
        <w:shd w:val="clear" w:color="auto" w:fill="auto"/>
      </w:tcPr>
    </w:tblStylePr>
    <w:tblStylePr w:type="firstCol">
      <w:pPr>
        <w:keepNext w:val="0"/>
        <w:wordWrap/>
      </w:pPr>
    </w:tblStylePr>
    <w:tblStylePr w:type="band1Horz">
      <w:tblPr/>
      <w:tcPr>
        <w:tcBorders>
          <w:top w:val="single" w:sz="8" w:space="0" w:color="auto"/>
          <w:bottom w:val="single" w:sz="8" w:space="0" w:color="auto"/>
        </w:tcBorders>
        <w:shd w:val="clear" w:color="auto" w:fill="auto"/>
      </w:tcPr>
    </w:tblStylePr>
    <w:tblStylePr w:type="band2Horz">
      <w:tblPr/>
      <w:tcPr>
        <w:tcBorders>
          <w:top w:val="single" w:sz="8" w:space="0" w:color="auto"/>
          <w:bottom w:val="single" w:sz="8" w:space="0" w:color="auto"/>
          <w:tr2bl w:val="nil"/>
        </w:tcBorders>
        <w:shd w:val="clear" w:color="auto" w:fill="auto"/>
      </w:tcPr>
    </w:tblStylePr>
  </w:style>
  <w:style w:type="table" w:customStyle="1" w:styleId="TableTGAblack">
    <w:name w:val="Table TGA black"/>
    <w:basedOn w:val="TableNormal"/>
    <w:uiPriority w:val="99"/>
    <w:rsid w:val="00732FEE"/>
    <w:pPr>
      <w:spacing w:before="60"/>
    </w:pPr>
    <w:rPr>
      <w:color w:val="000000"/>
      <w:sz w:val="22"/>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cantSplit/>
    </w:trPr>
    <w:tcPr>
      <w:shd w:val="clear" w:color="auto" w:fill="auto"/>
    </w:tcPr>
    <w:tblStylePr w:type="firstRow">
      <w:pPr>
        <w:keepNext/>
        <w:wordWrap/>
      </w:pPr>
      <w:rPr>
        <w:rFonts w:ascii="Cambria" w:hAnsi="Cambria"/>
        <w:b/>
        <w:color w:val="FFFFFF"/>
        <w:sz w:val="22"/>
      </w:rPr>
      <w:tblPr/>
      <w:trPr>
        <w:tblHeader/>
      </w:trPr>
      <w:tcPr>
        <w:shd w:val="clear" w:color="auto" w:fill="000000"/>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GASignoff">
    <w:name w:val="TGA Signoff"/>
    <w:basedOn w:val="Normal"/>
    <w:rsid w:val="006F652C"/>
    <w:pPr>
      <w:spacing w:after="360"/>
      <w:jc w:val="center"/>
    </w:pPr>
    <w:rPr>
      <w:rFonts w:ascii="Arial" w:hAnsi="Arial"/>
      <w:b/>
      <w:sz w:val="28"/>
    </w:rPr>
  </w:style>
  <w:style w:type="paragraph" w:styleId="Title">
    <w:name w:val="Title"/>
    <w:link w:val="TitleChar"/>
    <w:uiPriority w:val="10"/>
    <w:qFormat/>
    <w:rsid w:val="00905DB5"/>
    <w:pPr>
      <w:spacing w:before="600" w:after="360"/>
      <w:ind w:left="1134"/>
    </w:pPr>
    <w:rPr>
      <w:rFonts w:ascii="Segoe UI Semibold" w:eastAsia="Times New Roman" w:hAnsi="Segoe UI Semibold"/>
      <w:spacing w:val="5"/>
      <w:kern w:val="28"/>
      <w:sz w:val="38"/>
      <w:szCs w:val="52"/>
      <w:lang w:eastAsia="en-US"/>
    </w:rPr>
  </w:style>
  <w:style w:type="character" w:customStyle="1" w:styleId="TitleChar">
    <w:name w:val="Title Char"/>
    <w:basedOn w:val="DefaultParagraphFont"/>
    <w:link w:val="Title"/>
    <w:uiPriority w:val="10"/>
    <w:rsid w:val="00905DB5"/>
    <w:rPr>
      <w:rFonts w:ascii="Segoe UI Semibold" w:eastAsia="Times New Roman" w:hAnsi="Segoe UI Semibold"/>
      <w:spacing w:val="5"/>
      <w:kern w:val="28"/>
      <w:sz w:val="38"/>
      <w:szCs w:val="52"/>
      <w:lang w:eastAsia="en-US"/>
    </w:rPr>
  </w:style>
  <w:style w:type="paragraph" w:styleId="TOC1">
    <w:name w:val="toc 1"/>
    <w:basedOn w:val="Normal"/>
    <w:next w:val="Normal"/>
    <w:uiPriority w:val="39"/>
    <w:unhideWhenUsed/>
    <w:rsid w:val="00AA2544"/>
    <w:pPr>
      <w:keepNext/>
      <w:keepLines/>
      <w:tabs>
        <w:tab w:val="right" w:leader="underscore" w:pos="8505"/>
      </w:tabs>
      <w:spacing w:after="200"/>
    </w:pPr>
    <w:rPr>
      <w:rFonts w:ascii="Segoe UI Semibold" w:hAnsi="Segoe UI Semibold"/>
      <w:sz w:val="24"/>
    </w:rPr>
  </w:style>
  <w:style w:type="paragraph" w:styleId="TOC2">
    <w:name w:val="toc 2"/>
    <w:basedOn w:val="Normal"/>
    <w:next w:val="Normal"/>
    <w:uiPriority w:val="39"/>
    <w:unhideWhenUsed/>
    <w:rsid w:val="00AA2544"/>
    <w:pPr>
      <w:keepNext/>
      <w:keepLines/>
      <w:tabs>
        <w:tab w:val="right" w:leader="underscore" w:pos="8505"/>
      </w:tabs>
      <w:spacing w:after="100"/>
      <w:ind w:left="425"/>
    </w:pPr>
    <w:rPr>
      <w:rFonts w:ascii="Segoe UI Semibold" w:hAnsi="Segoe UI Semibold"/>
    </w:rPr>
  </w:style>
  <w:style w:type="paragraph" w:styleId="TOC3">
    <w:name w:val="toc 3"/>
    <w:basedOn w:val="Normal"/>
    <w:next w:val="Normal"/>
    <w:uiPriority w:val="39"/>
    <w:unhideWhenUsed/>
    <w:rsid w:val="00AA2544"/>
    <w:pPr>
      <w:keepNext/>
      <w:keepLines/>
      <w:tabs>
        <w:tab w:val="right" w:leader="hyphen" w:pos="8505"/>
      </w:tabs>
      <w:spacing w:after="100"/>
      <w:ind w:left="851"/>
    </w:pPr>
    <w:rPr>
      <w:i/>
    </w:rPr>
  </w:style>
  <w:style w:type="paragraph" w:styleId="TOCHeading">
    <w:name w:val="TOC Heading"/>
    <w:basedOn w:val="Heading1"/>
    <w:next w:val="Normal"/>
    <w:uiPriority w:val="39"/>
    <w:semiHidden/>
    <w:unhideWhenUsed/>
    <w:qFormat/>
    <w:rsid w:val="00F3148D"/>
    <w:pPr>
      <w:framePr w:wrap="around" w:hAnchor="text"/>
      <w:spacing w:after="0" w:line="276" w:lineRule="auto"/>
      <w:outlineLvl w:val="9"/>
    </w:pPr>
    <w:rPr>
      <w:color w:val="002035"/>
      <w:sz w:val="28"/>
      <w:lang w:val="en-US"/>
    </w:rPr>
  </w:style>
  <w:style w:type="paragraph" w:customStyle="1" w:styleId="Subject">
    <w:name w:val="Subject"/>
    <w:basedOn w:val="Normal"/>
    <w:rsid w:val="00D153B1"/>
    <w:rPr>
      <w:b/>
    </w:rPr>
  </w:style>
  <w:style w:type="numbering" w:customStyle="1" w:styleId="NumberBullet1">
    <w:name w:val="NumberBullet1"/>
    <w:uiPriority w:val="99"/>
    <w:rsid w:val="001525B4"/>
  </w:style>
  <w:style w:type="numbering" w:customStyle="1" w:styleId="ListBullets1">
    <w:name w:val="ListBullets1"/>
    <w:uiPriority w:val="99"/>
    <w:rsid w:val="001525B4"/>
  </w:style>
  <w:style w:type="paragraph" w:styleId="FootnoteText">
    <w:name w:val="footnote text"/>
    <w:basedOn w:val="Normal"/>
    <w:link w:val="FootnoteTextChar"/>
    <w:uiPriority w:val="99"/>
    <w:rsid w:val="00F401EF"/>
    <w:pPr>
      <w:keepLines/>
      <w:spacing w:before="0" w:after="0"/>
    </w:pPr>
    <w:rPr>
      <w:sz w:val="20"/>
    </w:rPr>
  </w:style>
  <w:style w:type="character" w:customStyle="1" w:styleId="FootnoteTextChar">
    <w:name w:val="Footnote Text Char"/>
    <w:basedOn w:val="DefaultParagraphFont"/>
    <w:link w:val="FootnoteText"/>
    <w:uiPriority w:val="99"/>
    <w:rsid w:val="001525B4"/>
    <w:rPr>
      <w:lang w:eastAsia="en-US"/>
    </w:rPr>
  </w:style>
  <w:style w:type="character" w:styleId="FootnoteReference">
    <w:name w:val="footnote reference"/>
    <w:basedOn w:val="DefaultParagraphFont"/>
    <w:uiPriority w:val="99"/>
    <w:semiHidden/>
    <w:unhideWhenUsed/>
    <w:rsid w:val="001525B4"/>
    <w:rPr>
      <w:vertAlign w:val="superscript"/>
    </w:rPr>
  </w:style>
  <w:style w:type="paragraph" w:customStyle="1" w:styleId="NonTOCheading2">
    <w:name w:val="Non TOC heading 2"/>
    <w:basedOn w:val="Heading2"/>
    <w:next w:val="Normal"/>
    <w:rsid w:val="00F65CAB"/>
    <w:pPr>
      <w:pageBreakBefore/>
      <w:spacing w:before="0"/>
    </w:pPr>
  </w:style>
  <w:style w:type="paragraph" w:customStyle="1" w:styleId="Figuredescription">
    <w:name w:val="Figure description"/>
    <w:basedOn w:val="Normal"/>
    <w:next w:val="Normal"/>
    <w:rsid w:val="00F401EF"/>
    <w:pPr>
      <w:spacing w:after="240" w:line="180" w:lineRule="atLeast"/>
    </w:pPr>
    <w:rPr>
      <w:sz w:val="18"/>
    </w:rPr>
  </w:style>
  <w:style w:type="paragraph" w:customStyle="1" w:styleId="Figuretitle">
    <w:name w:val="Figure title"/>
    <w:basedOn w:val="Normal"/>
    <w:next w:val="Normal"/>
    <w:rsid w:val="00F401EF"/>
    <w:pPr>
      <w:outlineLvl w:val="4"/>
    </w:pPr>
    <w:rPr>
      <w:b/>
    </w:rPr>
  </w:style>
  <w:style w:type="paragraph" w:customStyle="1" w:styleId="Headernoline">
    <w:name w:val="Header no line"/>
    <w:basedOn w:val="Header"/>
    <w:rsid w:val="00F401EF"/>
    <w:pPr>
      <w:pBdr>
        <w:bottom w:val="none" w:sz="0" w:space="0" w:color="auto"/>
      </w:pBdr>
      <w:spacing w:line="240" w:lineRule="atLeast"/>
    </w:pPr>
  </w:style>
  <w:style w:type="paragraph" w:customStyle="1" w:styleId="Quotation">
    <w:name w:val="Quotation"/>
    <w:basedOn w:val="Normal"/>
    <w:next w:val="Normal"/>
    <w:uiPriority w:val="4"/>
    <w:qFormat/>
    <w:rsid w:val="00F401EF"/>
    <w:pPr>
      <w:ind w:left="425"/>
    </w:pPr>
    <w:rPr>
      <w:sz w:val="20"/>
    </w:rPr>
  </w:style>
  <w:style w:type="paragraph" w:customStyle="1" w:styleId="Tabledescription">
    <w:name w:val="Table description"/>
    <w:basedOn w:val="Figuredescription"/>
    <w:next w:val="Normal"/>
    <w:rsid w:val="00F401EF"/>
  </w:style>
  <w:style w:type="paragraph" w:customStyle="1" w:styleId="Tabletitle">
    <w:name w:val="Table title"/>
    <w:basedOn w:val="Normal"/>
    <w:next w:val="Normal"/>
    <w:rsid w:val="00F401EF"/>
    <w:pPr>
      <w:keepNext/>
      <w:outlineLvl w:val="4"/>
    </w:pPr>
    <w:rPr>
      <w:b/>
    </w:rPr>
  </w:style>
  <w:style w:type="paragraph" w:styleId="TOC4">
    <w:name w:val="toc 4"/>
    <w:basedOn w:val="Normal"/>
    <w:next w:val="Normal"/>
    <w:autoRedefine/>
    <w:uiPriority w:val="39"/>
    <w:unhideWhenUsed/>
    <w:rsid w:val="00F401EF"/>
    <w:pPr>
      <w:tabs>
        <w:tab w:val="right" w:leader="hyphen" w:pos="8505"/>
      </w:tabs>
      <w:spacing w:after="100"/>
      <w:ind w:left="1276"/>
    </w:pPr>
  </w:style>
  <w:style w:type="paragraph" w:styleId="TOC5">
    <w:name w:val="toc 5"/>
    <w:basedOn w:val="Normal"/>
    <w:next w:val="Normal"/>
    <w:autoRedefine/>
    <w:uiPriority w:val="39"/>
    <w:semiHidden/>
    <w:unhideWhenUsed/>
    <w:rsid w:val="00F401EF"/>
    <w:pPr>
      <w:tabs>
        <w:tab w:val="right" w:leader="dot" w:pos="8505"/>
      </w:tabs>
      <w:spacing w:after="100"/>
      <w:ind w:left="1701"/>
    </w:pPr>
    <w:rPr>
      <w:noProof/>
    </w:rPr>
  </w:style>
  <w:style w:type="paragraph" w:styleId="TOC6">
    <w:name w:val="toc 6"/>
    <w:basedOn w:val="Normal"/>
    <w:next w:val="Normal"/>
    <w:autoRedefine/>
    <w:uiPriority w:val="39"/>
    <w:semiHidden/>
    <w:unhideWhenUsed/>
    <w:rsid w:val="00F401EF"/>
    <w:pPr>
      <w:tabs>
        <w:tab w:val="right" w:pos="8505"/>
      </w:tabs>
      <w:spacing w:after="100"/>
      <w:ind w:left="2126"/>
    </w:pPr>
  </w:style>
  <w:style w:type="paragraph" w:styleId="TOC7">
    <w:name w:val="toc 7"/>
    <w:basedOn w:val="Normal"/>
    <w:next w:val="Normal"/>
    <w:autoRedefine/>
    <w:uiPriority w:val="39"/>
    <w:semiHidden/>
    <w:unhideWhenUsed/>
    <w:rsid w:val="00F401EF"/>
    <w:pPr>
      <w:spacing w:after="100"/>
      <w:ind w:left="2211"/>
    </w:pPr>
  </w:style>
  <w:style w:type="paragraph" w:customStyle="1" w:styleId="Address">
    <w:name w:val="Address"/>
    <w:basedOn w:val="Normal"/>
    <w:rsid w:val="00EB5622"/>
    <w:pPr>
      <w:spacing w:before="0" w:after="0" w:line="240" w:lineRule="auto"/>
    </w:pPr>
    <w:rPr>
      <w:sz w:val="21"/>
    </w:rPr>
  </w:style>
  <w:style w:type="paragraph" w:styleId="EndnoteText">
    <w:name w:val="endnote text"/>
    <w:basedOn w:val="FootnoteText"/>
    <w:link w:val="EndnoteTextChar"/>
    <w:semiHidden/>
    <w:unhideWhenUsed/>
    <w:rsid w:val="00C4743E"/>
    <w:rPr>
      <w:rFonts w:asciiTheme="minorHAnsi" w:hAnsiTheme="minorHAnsi" w:cstheme="minorBidi"/>
      <w:szCs w:val="22"/>
    </w:rPr>
  </w:style>
  <w:style w:type="character" w:customStyle="1" w:styleId="EndnoteTextChar">
    <w:name w:val="Endnote Text Char"/>
    <w:basedOn w:val="DefaultParagraphFont"/>
    <w:link w:val="EndnoteText"/>
    <w:semiHidden/>
    <w:rsid w:val="00C4743E"/>
    <w:rPr>
      <w:rFonts w:asciiTheme="minorHAnsi" w:hAnsiTheme="minorHAnsi" w:cstheme="minorBidi"/>
      <w:szCs w:val="22"/>
      <w:lang w:eastAsia="en-US"/>
    </w:rPr>
  </w:style>
  <w:style w:type="character" w:styleId="CommentReference">
    <w:name w:val="annotation reference"/>
    <w:basedOn w:val="DefaultParagraphFont"/>
    <w:uiPriority w:val="99"/>
    <w:semiHidden/>
    <w:unhideWhenUsed/>
    <w:rsid w:val="0045040C"/>
    <w:rPr>
      <w:sz w:val="16"/>
      <w:szCs w:val="16"/>
    </w:rPr>
  </w:style>
  <w:style w:type="paragraph" w:styleId="CommentText">
    <w:name w:val="annotation text"/>
    <w:basedOn w:val="Normal"/>
    <w:link w:val="CommentTextChar"/>
    <w:uiPriority w:val="99"/>
    <w:semiHidden/>
    <w:unhideWhenUsed/>
    <w:rsid w:val="0045040C"/>
    <w:pPr>
      <w:spacing w:line="240" w:lineRule="auto"/>
    </w:pPr>
    <w:rPr>
      <w:sz w:val="20"/>
    </w:rPr>
  </w:style>
  <w:style w:type="character" w:customStyle="1" w:styleId="CommentTextChar">
    <w:name w:val="Comment Text Char"/>
    <w:basedOn w:val="DefaultParagraphFont"/>
    <w:link w:val="CommentText"/>
    <w:uiPriority w:val="99"/>
    <w:semiHidden/>
    <w:rsid w:val="0045040C"/>
    <w:rPr>
      <w:lang w:eastAsia="en-US"/>
    </w:rPr>
  </w:style>
  <w:style w:type="paragraph" w:styleId="CommentSubject">
    <w:name w:val="annotation subject"/>
    <w:basedOn w:val="CommentText"/>
    <w:next w:val="CommentText"/>
    <w:link w:val="CommentSubjectChar"/>
    <w:uiPriority w:val="99"/>
    <w:semiHidden/>
    <w:unhideWhenUsed/>
    <w:rsid w:val="0045040C"/>
    <w:rPr>
      <w:b/>
      <w:bCs/>
    </w:rPr>
  </w:style>
  <w:style w:type="character" w:customStyle="1" w:styleId="CommentSubjectChar">
    <w:name w:val="Comment Subject Char"/>
    <w:basedOn w:val="CommentTextChar"/>
    <w:link w:val="CommentSubject"/>
    <w:uiPriority w:val="99"/>
    <w:semiHidden/>
    <w:rsid w:val="0045040C"/>
    <w:rPr>
      <w:b/>
      <w:bCs/>
      <w:lang w:eastAsia="en-US"/>
    </w:rPr>
  </w:style>
  <w:style w:type="paragraph" w:customStyle="1" w:styleId="Tableheader">
    <w:name w:val="Table header"/>
    <w:basedOn w:val="Normal"/>
    <w:next w:val="Normal"/>
    <w:uiPriority w:val="1"/>
    <w:qFormat/>
    <w:rsid w:val="00A92F24"/>
    <w:pPr>
      <w:keepNext/>
      <w:spacing w:before="100" w:after="100"/>
    </w:pPr>
    <w:rPr>
      <w:rFonts w:ascii="Segoe UI Semibold" w:hAnsi="Segoe UI Semibold"/>
      <w:szCs w:val="21"/>
    </w:rPr>
  </w:style>
  <w:style w:type="paragraph" w:styleId="ListParagraph">
    <w:name w:val="List Paragraph"/>
    <w:basedOn w:val="Normal"/>
    <w:uiPriority w:val="34"/>
    <w:qFormat/>
    <w:rsid w:val="00B2102B"/>
    <w:pPr>
      <w:spacing w:before="60" w:after="60" w:line="276" w:lineRule="auto"/>
      <w:ind w:left="720"/>
      <w:contextualSpacing/>
    </w:pPr>
    <w:rPr>
      <w:rFonts w:ascii="Calibri Light" w:eastAsiaTheme="minorHAnsi" w:hAnsi="Calibri Light"/>
      <w:sz w:val="24"/>
      <w:szCs w:val="24"/>
    </w:rPr>
  </w:style>
  <w:style w:type="paragraph" w:styleId="NormalWeb">
    <w:name w:val="Normal (Web)"/>
    <w:basedOn w:val="Normal"/>
    <w:uiPriority w:val="99"/>
    <w:unhideWhenUsed/>
    <w:rsid w:val="00FB5F97"/>
    <w:pPr>
      <w:spacing w:before="100" w:beforeAutospacing="1" w:after="100" w:afterAutospacing="1" w:line="240" w:lineRule="auto"/>
    </w:pPr>
    <w:rPr>
      <w:rFonts w:ascii="Calibri Light" w:eastAsiaTheme="minorEastAsia" w:hAnsi="Calibri Light"/>
      <w:sz w:val="24"/>
      <w:szCs w:val="24"/>
      <w:lang w:eastAsia="en-AU"/>
    </w:rPr>
  </w:style>
  <w:style w:type="paragraph" w:styleId="Bibliography">
    <w:name w:val="Bibliography"/>
    <w:basedOn w:val="Normal"/>
    <w:next w:val="Normal"/>
    <w:uiPriority w:val="37"/>
    <w:semiHidden/>
    <w:unhideWhenUsed/>
    <w:rsid w:val="00E8027B"/>
  </w:style>
  <w:style w:type="paragraph" w:styleId="BlockText">
    <w:name w:val="Block Text"/>
    <w:basedOn w:val="Normal"/>
    <w:uiPriority w:val="99"/>
    <w:semiHidden/>
    <w:unhideWhenUsed/>
    <w:rsid w:val="00E8027B"/>
    <w:pPr>
      <w:pBdr>
        <w:top w:val="single" w:sz="2" w:space="10" w:color="006EA8" w:themeColor="accent1"/>
        <w:left w:val="single" w:sz="2" w:space="10" w:color="006EA8" w:themeColor="accent1"/>
        <w:bottom w:val="single" w:sz="2" w:space="10" w:color="006EA8" w:themeColor="accent1"/>
        <w:right w:val="single" w:sz="2" w:space="10" w:color="006EA8" w:themeColor="accent1"/>
      </w:pBdr>
      <w:ind w:left="1152" w:right="1152"/>
    </w:pPr>
    <w:rPr>
      <w:rFonts w:asciiTheme="minorHAnsi" w:eastAsiaTheme="minorEastAsia" w:hAnsiTheme="minorHAnsi" w:cstheme="minorBidi"/>
      <w:i/>
      <w:iCs/>
      <w:color w:val="006EA8" w:themeColor="accent1"/>
    </w:rPr>
  </w:style>
  <w:style w:type="paragraph" w:styleId="BodyText">
    <w:name w:val="Body Text"/>
    <w:basedOn w:val="Normal"/>
    <w:link w:val="BodyTextChar"/>
    <w:uiPriority w:val="99"/>
    <w:semiHidden/>
    <w:unhideWhenUsed/>
    <w:rsid w:val="00E8027B"/>
    <w:pPr>
      <w:spacing w:after="120"/>
    </w:pPr>
  </w:style>
  <w:style w:type="character" w:customStyle="1" w:styleId="BodyTextChar">
    <w:name w:val="Body Text Char"/>
    <w:basedOn w:val="DefaultParagraphFont"/>
    <w:link w:val="BodyText"/>
    <w:uiPriority w:val="99"/>
    <w:semiHidden/>
    <w:rsid w:val="00E8027B"/>
    <w:rPr>
      <w:rFonts w:ascii="Segoe UI" w:hAnsi="Segoe UI"/>
      <w:sz w:val="22"/>
      <w:lang w:eastAsia="en-US"/>
    </w:rPr>
  </w:style>
  <w:style w:type="paragraph" w:styleId="BodyText2">
    <w:name w:val="Body Text 2"/>
    <w:basedOn w:val="Normal"/>
    <w:link w:val="BodyText2Char"/>
    <w:uiPriority w:val="99"/>
    <w:semiHidden/>
    <w:unhideWhenUsed/>
    <w:rsid w:val="00E8027B"/>
    <w:pPr>
      <w:spacing w:after="120" w:line="480" w:lineRule="auto"/>
    </w:pPr>
  </w:style>
  <w:style w:type="character" w:customStyle="1" w:styleId="BodyText2Char">
    <w:name w:val="Body Text 2 Char"/>
    <w:basedOn w:val="DefaultParagraphFont"/>
    <w:link w:val="BodyText2"/>
    <w:uiPriority w:val="99"/>
    <w:semiHidden/>
    <w:rsid w:val="00E8027B"/>
    <w:rPr>
      <w:rFonts w:ascii="Segoe UI" w:hAnsi="Segoe UI"/>
      <w:sz w:val="22"/>
      <w:lang w:eastAsia="en-US"/>
    </w:rPr>
  </w:style>
  <w:style w:type="paragraph" w:styleId="BodyText3">
    <w:name w:val="Body Text 3"/>
    <w:basedOn w:val="Normal"/>
    <w:link w:val="BodyText3Char"/>
    <w:uiPriority w:val="99"/>
    <w:semiHidden/>
    <w:unhideWhenUsed/>
    <w:rsid w:val="00E8027B"/>
    <w:pPr>
      <w:spacing w:after="120"/>
    </w:pPr>
    <w:rPr>
      <w:sz w:val="16"/>
      <w:szCs w:val="16"/>
    </w:rPr>
  </w:style>
  <w:style w:type="character" w:customStyle="1" w:styleId="BodyText3Char">
    <w:name w:val="Body Text 3 Char"/>
    <w:basedOn w:val="DefaultParagraphFont"/>
    <w:link w:val="BodyText3"/>
    <w:uiPriority w:val="99"/>
    <w:semiHidden/>
    <w:rsid w:val="00E8027B"/>
    <w:rPr>
      <w:rFonts w:ascii="Segoe UI" w:hAnsi="Segoe UI"/>
      <w:sz w:val="16"/>
      <w:szCs w:val="16"/>
      <w:lang w:eastAsia="en-US"/>
    </w:rPr>
  </w:style>
  <w:style w:type="paragraph" w:styleId="BodyTextFirstIndent">
    <w:name w:val="Body Text First Indent"/>
    <w:basedOn w:val="BodyText"/>
    <w:link w:val="BodyTextFirstIndentChar"/>
    <w:uiPriority w:val="99"/>
    <w:semiHidden/>
    <w:unhideWhenUsed/>
    <w:rsid w:val="00E8027B"/>
    <w:pPr>
      <w:spacing w:after="180"/>
      <w:ind w:firstLine="360"/>
    </w:pPr>
  </w:style>
  <w:style w:type="character" w:customStyle="1" w:styleId="BodyTextFirstIndentChar">
    <w:name w:val="Body Text First Indent Char"/>
    <w:basedOn w:val="BodyTextChar"/>
    <w:link w:val="BodyTextFirstIndent"/>
    <w:uiPriority w:val="99"/>
    <w:semiHidden/>
    <w:rsid w:val="00E8027B"/>
    <w:rPr>
      <w:rFonts w:ascii="Segoe UI" w:hAnsi="Segoe UI"/>
      <w:sz w:val="22"/>
      <w:lang w:eastAsia="en-US"/>
    </w:rPr>
  </w:style>
  <w:style w:type="paragraph" w:styleId="BodyTextIndent">
    <w:name w:val="Body Text Indent"/>
    <w:basedOn w:val="Normal"/>
    <w:link w:val="BodyTextIndentChar"/>
    <w:uiPriority w:val="99"/>
    <w:semiHidden/>
    <w:unhideWhenUsed/>
    <w:rsid w:val="00E8027B"/>
    <w:pPr>
      <w:spacing w:after="120"/>
      <w:ind w:left="283"/>
    </w:pPr>
  </w:style>
  <w:style w:type="character" w:customStyle="1" w:styleId="BodyTextIndentChar">
    <w:name w:val="Body Text Indent Char"/>
    <w:basedOn w:val="DefaultParagraphFont"/>
    <w:link w:val="BodyTextIndent"/>
    <w:uiPriority w:val="99"/>
    <w:semiHidden/>
    <w:rsid w:val="00E8027B"/>
    <w:rPr>
      <w:rFonts w:ascii="Segoe UI" w:hAnsi="Segoe UI"/>
      <w:sz w:val="22"/>
      <w:lang w:eastAsia="en-US"/>
    </w:rPr>
  </w:style>
  <w:style w:type="paragraph" w:styleId="BodyTextFirstIndent2">
    <w:name w:val="Body Text First Indent 2"/>
    <w:basedOn w:val="BodyTextIndent"/>
    <w:link w:val="BodyTextFirstIndent2Char"/>
    <w:uiPriority w:val="99"/>
    <w:semiHidden/>
    <w:unhideWhenUsed/>
    <w:rsid w:val="00E8027B"/>
    <w:pPr>
      <w:spacing w:after="180"/>
      <w:ind w:left="360" w:firstLine="360"/>
    </w:pPr>
  </w:style>
  <w:style w:type="character" w:customStyle="1" w:styleId="BodyTextFirstIndent2Char">
    <w:name w:val="Body Text First Indent 2 Char"/>
    <w:basedOn w:val="BodyTextIndentChar"/>
    <w:link w:val="BodyTextFirstIndent2"/>
    <w:uiPriority w:val="99"/>
    <w:semiHidden/>
    <w:rsid w:val="00E8027B"/>
    <w:rPr>
      <w:rFonts w:ascii="Segoe UI" w:hAnsi="Segoe UI"/>
      <w:sz w:val="22"/>
      <w:lang w:eastAsia="en-US"/>
    </w:rPr>
  </w:style>
  <w:style w:type="paragraph" w:styleId="BodyTextIndent2">
    <w:name w:val="Body Text Indent 2"/>
    <w:basedOn w:val="Normal"/>
    <w:link w:val="BodyTextIndent2Char"/>
    <w:uiPriority w:val="99"/>
    <w:semiHidden/>
    <w:unhideWhenUsed/>
    <w:rsid w:val="00E8027B"/>
    <w:pPr>
      <w:spacing w:after="120" w:line="480" w:lineRule="auto"/>
      <w:ind w:left="283"/>
    </w:pPr>
  </w:style>
  <w:style w:type="character" w:customStyle="1" w:styleId="BodyTextIndent2Char">
    <w:name w:val="Body Text Indent 2 Char"/>
    <w:basedOn w:val="DefaultParagraphFont"/>
    <w:link w:val="BodyTextIndent2"/>
    <w:uiPriority w:val="99"/>
    <w:semiHidden/>
    <w:rsid w:val="00E8027B"/>
    <w:rPr>
      <w:rFonts w:ascii="Segoe UI" w:hAnsi="Segoe UI"/>
      <w:sz w:val="22"/>
      <w:lang w:eastAsia="en-US"/>
    </w:rPr>
  </w:style>
  <w:style w:type="paragraph" w:styleId="BodyTextIndent3">
    <w:name w:val="Body Text Indent 3"/>
    <w:basedOn w:val="Normal"/>
    <w:link w:val="BodyTextIndent3Char"/>
    <w:uiPriority w:val="99"/>
    <w:semiHidden/>
    <w:unhideWhenUsed/>
    <w:rsid w:val="00E8027B"/>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E8027B"/>
    <w:rPr>
      <w:rFonts w:ascii="Segoe UI" w:hAnsi="Segoe UI"/>
      <w:sz w:val="16"/>
      <w:szCs w:val="16"/>
      <w:lang w:eastAsia="en-US"/>
    </w:rPr>
  </w:style>
  <w:style w:type="paragraph" w:styleId="Caption">
    <w:name w:val="caption"/>
    <w:basedOn w:val="Normal"/>
    <w:next w:val="Normal"/>
    <w:uiPriority w:val="35"/>
    <w:rsid w:val="00E8027B"/>
    <w:pPr>
      <w:spacing w:before="0" w:after="200" w:line="240" w:lineRule="auto"/>
    </w:pPr>
    <w:rPr>
      <w:i/>
      <w:iCs/>
      <w:color w:val="002C47" w:themeColor="text2"/>
      <w:sz w:val="18"/>
      <w:szCs w:val="18"/>
    </w:rPr>
  </w:style>
  <w:style w:type="paragraph" w:styleId="Closing">
    <w:name w:val="Closing"/>
    <w:basedOn w:val="Normal"/>
    <w:link w:val="ClosingChar"/>
    <w:uiPriority w:val="99"/>
    <w:semiHidden/>
    <w:unhideWhenUsed/>
    <w:rsid w:val="00E8027B"/>
    <w:pPr>
      <w:spacing w:before="0" w:after="0" w:line="240" w:lineRule="auto"/>
      <w:ind w:left="4252"/>
    </w:pPr>
  </w:style>
  <w:style w:type="character" w:customStyle="1" w:styleId="ClosingChar">
    <w:name w:val="Closing Char"/>
    <w:basedOn w:val="DefaultParagraphFont"/>
    <w:link w:val="Closing"/>
    <w:uiPriority w:val="99"/>
    <w:semiHidden/>
    <w:rsid w:val="00E8027B"/>
    <w:rPr>
      <w:rFonts w:ascii="Segoe UI" w:hAnsi="Segoe UI"/>
      <w:sz w:val="22"/>
      <w:lang w:eastAsia="en-US"/>
    </w:rPr>
  </w:style>
  <w:style w:type="paragraph" w:styleId="DocumentMap">
    <w:name w:val="Document Map"/>
    <w:basedOn w:val="Normal"/>
    <w:link w:val="DocumentMapChar"/>
    <w:uiPriority w:val="99"/>
    <w:semiHidden/>
    <w:unhideWhenUsed/>
    <w:rsid w:val="00E8027B"/>
    <w:pPr>
      <w:spacing w:before="0" w:after="0" w:line="240" w:lineRule="auto"/>
    </w:pPr>
    <w:rPr>
      <w:rFonts w:cs="Segoe UI"/>
      <w:sz w:val="16"/>
      <w:szCs w:val="16"/>
    </w:rPr>
  </w:style>
  <w:style w:type="character" w:customStyle="1" w:styleId="DocumentMapChar">
    <w:name w:val="Document Map Char"/>
    <w:basedOn w:val="DefaultParagraphFont"/>
    <w:link w:val="DocumentMap"/>
    <w:uiPriority w:val="99"/>
    <w:semiHidden/>
    <w:rsid w:val="00E8027B"/>
    <w:rPr>
      <w:rFonts w:ascii="Segoe UI" w:hAnsi="Segoe UI" w:cs="Segoe UI"/>
      <w:sz w:val="16"/>
      <w:szCs w:val="16"/>
      <w:lang w:eastAsia="en-US"/>
    </w:rPr>
  </w:style>
  <w:style w:type="paragraph" w:styleId="E-mailSignature">
    <w:name w:val="E-mail Signature"/>
    <w:basedOn w:val="Normal"/>
    <w:link w:val="E-mailSignatureChar"/>
    <w:uiPriority w:val="99"/>
    <w:semiHidden/>
    <w:unhideWhenUsed/>
    <w:rsid w:val="00E8027B"/>
    <w:pPr>
      <w:spacing w:before="0" w:after="0" w:line="240" w:lineRule="auto"/>
    </w:pPr>
  </w:style>
  <w:style w:type="character" w:customStyle="1" w:styleId="E-mailSignatureChar">
    <w:name w:val="E-mail Signature Char"/>
    <w:basedOn w:val="DefaultParagraphFont"/>
    <w:link w:val="E-mailSignature"/>
    <w:uiPriority w:val="99"/>
    <w:semiHidden/>
    <w:rsid w:val="00E8027B"/>
    <w:rPr>
      <w:rFonts w:ascii="Segoe UI" w:hAnsi="Segoe UI"/>
      <w:sz w:val="22"/>
      <w:lang w:eastAsia="en-US"/>
    </w:rPr>
  </w:style>
  <w:style w:type="paragraph" w:styleId="EnvelopeAddress">
    <w:name w:val="envelope address"/>
    <w:basedOn w:val="Normal"/>
    <w:uiPriority w:val="99"/>
    <w:semiHidden/>
    <w:unhideWhenUsed/>
    <w:rsid w:val="00E8027B"/>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E8027B"/>
    <w:pPr>
      <w:spacing w:before="0" w:after="0" w:line="240" w:lineRule="auto"/>
    </w:pPr>
    <w:rPr>
      <w:rFonts w:asciiTheme="majorHAnsi" w:eastAsiaTheme="majorEastAsia" w:hAnsiTheme="majorHAnsi" w:cstheme="majorBidi"/>
      <w:sz w:val="20"/>
    </w:rPr>
  </w:style>
  <w:style w:type="character" w:customStyle="1" w:styleId="Heading8Char">
    <w:name w:val="Heading 8 Char"/>
    <w:basedOn w:val="DefaultParagraphFont"/>
    <w:link w:val="Heading8"/>
    <w:uiPriority w:val="9"/>
    <w:semiHidden/>
    <w:rsid w:val="00E8027B"/>
    <w:rPr>
      <w:rFonts w:asciiTheme="majorHAnsi" w:eastAsiaTheme="majorEastAsia" w:hAnsiTheme="majorHAnsi" w:cstheme="majorBidi"/>
      <w:color w:val="00558A" w:themeColor="text1" w:themeTint="D8"/>
      <w:sz w:val="21"/>
      <w:szCs w:val="21"/>
      <w:lang w:eastAsia="en-US"/>
    </w:rPr>
  </w:style>
  <w:style w:type="character" w:customStyle="1" w:styleId="Heading9Char">
    <w:name w:val="Heading 9 Char"/>
    <w:basedOn w:val="DefaultParagraphFont"/>
    <w:link w:val="Heading9"/>
    <w:uiPriority w:val="9"/>
    <w:semiHidden/>
    <w:rsid w:val="00E8027B"/>
    <w:rPr>
      <w:rFonts w:asciiTheme="majorHAnsi" w:eastAsiaTheme="majorEastAsia" w:hAnsiTheme="majorHAnsi" w:cstheme="majorBidi"/>
      <w:i/>
      <w:iCs/>
      <w:color w:val="00558A" w:themeColor="text1" w:themeTint="D8"/>
      <w:sz w:val="21"/>
      <w:szCs w:val="21"/>
      <w:lang w:eastAsia="en-US"/>
    </w:rPr>
  </w:style>
  <w:style w:type="paragraph" w:styleId="HTMLAddress">
    <w:name w:val="HTML Address"/>
    <w:basedOn w:val="Normal"/>
    <w:link w:val="HTMLAddressChar"/>
    <w:uiPriority w:val="99"/>
    <w:semiHidden/>
    <w:unhideWhenUsed/>
    <w:rsid w:val="00E8027B"/>
    <w:pPr>
      <w:spacing w:before="0" w:after="0" w:line="240" w:lineRule="auto"/>
    </w:pPr>
    <w:rPr>
      <w:i/>
      <w:iCs/>
    </w:rPr>
  </w:style>
  <w:style w:type="character" w:customStyle="1" w:styleId="HTMLAddressChar">
    <w:name w:val="HTML Address Char"/>
    <w:basedOn w:val="DefaultParagraphFont"/>
    <w:link w:val="HTMLAddress"/>
    <w:uiPriority w:val="99"/>
    <w:semiHidden/>
    <w:rsid w:val="00E8027B"/>
    <w:rPr>
      <w:rFonts w:ascii="Segoe UI" w:hAnsi="Segoe UI"/>
      <w:i/>
      <w:iCs/>
      <w:sz w:val="22"/>
      <w:lang w:eastAsia="en-US"/>
    </w:rPr>
  </w:style>
  <w:style w:type="paragraph" w:styleId="HTMLPreformatted">
    <w:name w:val="HTML Preformatted"/>
    <w:basedOn w:val="Normal"/>
    <w:link w:val="HTMLPreformattedChar"/>
    <w:uiPriority w:val="99"/>
    <w:semiHidden/>
    <w:unhideWhenUsed/>
    <w:rsid w:val="00E8027B"/>
    <w:pPr>
      <w:spacing w:before="0" w:after="0" w:line="240" w:lineRule="auto"/>
    </w:pPr>
    <w:rPr>
      <w:rFonts w:ascii="Consolas" w:hAnsi="Consolas"/>
      <w:sz w:val="20"/>
    </w:rPr>
  </w:style>
  <w:style w:type="character" w:customStyle="1" w:styleId="HTMLPreformattedChar">
    <w:name w:val="HTML Preformatted Char"/>
    <w:basedOn w:val="DefaultParagraphFont"/>
    <w:link w:val="HTMLPreformatted"/>
    <w:uiPriority w:val="99"/>
    <w:semiHidden/>
    <w:rsid w:val="00E8027B"/>
    <w:rPr>
      <w:rFonts w:ascii="Consolas" w:hAnsi="Consolas"/>
      <w:lang w:eastAsia="en-US"/>
    </w:rPr>
  </w:style>
  <w:style w:type="paragraph" w:styleId="Index1">
    <w:name w:val="index 1"/>
    <w:basedOn w:val="Normal"/>
    <w:next w:val="Normal"/>
    <w:autoRedefine/>
    <w:uiPriority w:val="99"/>
    <w:semiHidden/>
    <w:unhideWhenUsed/>
    <w:rsid w:val="00E8027B"/>
    <w:pPr>
      <w:spacing w:before="0" w:after="0" w:line="240" w:lineRule="auto"/>
      <w:ind w:left="220" w:hanging="220"/>
    </w:pPr>
  </w:style>
  <w:style w:type="paragraph" w:styleId="Index2">
    <w:name w:val="index 2"/>
    <w:basedOn w:val="Normal"/>
    <w:next w:val="Normal"/>
    <w:autoRedefine/>
    <w:uiPriority w:val="99"/>
    <w:semiHidden/>
    <w:unhideWhenUsed/>
    <w:rsid w:val="00E8027B"/>
    <w:pPr>
      <w:spacing w:before="0" w:after="0" w:line="240" w:lineRule="auto"/>
      <w:ind w:left="440" w:hanging="220"/>
    </w:pPr>
  </w:style>
  <w:style w:type="paragraph" w:styleId="Index3">
    <w:name w:val="index 3"/>
    <w:basedOn w:val="Normal"/>
    <w:next w:val="Normal"/>
    <w:autoRedefine/>
    <w:uiPriority w:val="99"/>
    <w:semiHidden/>
    <w:unhideWhenUsed/>
    <w:rsid w:val="00E8027B"/>
    <w:pPr>
      <w:spacing w:before="0" w:after="0" w:line="240" w:lineRule="auto"/>
      <w:ind w:left="660" w:hanging="220"/>
    </w:pPr>
  </w:style>
  <w:style w:type="paragraph" w:styleId="Index4">
    <w:name w:val="index 4"/>
    <w:basedOn w:val="Normal"/>
    <w:next w:val="Normal"/>
    <w:autoRedefine/>
    <w:uiPriority w:val="99"/>
    <w:semiHidden/>
    <w:unhideWhenUsed/>
    <w:rsid w:val="00E8027B"/>
    <w:pPr>
      <w:spacing w:before="0" w:after="0" w:line="240" w:lineRule="auto"/>
      <w:ind w:left="880" w:hanging="220"/>
    </w:pPr>
  </w:style>
  <w:style w:type="paragraph" w:styleId="Index5">
    <w:name w:val="index 5"/>
    <w:basedOn w:val="Normal"/>
    <w:next w:val="Normal"/>
    <w:autoRedefine/>
    <w:uiPriority w:val="99"/>
    <w:semiHidden/>
    <w:unhideWhenUsed/>
    <w:rsid w:val="00E8027B"/>
    <w:pPr>
      <w:spacing w:before="0" w:after="0" w:line="240" w:lineRule="auto"/>
      <w:ind w:left="1100" w:hanging="220"/>
    </w:pPr>
  </w:style>
  <w:style w:type="paragraph" w:styleId="Index6">
    <w:name w:val="index 6"/>
    <w:basedOn w:val="Normal"/>
    <w:next w:val="Normal"/>
    <w:autoRedefine/>
    <w:uiPriority w:val="99"/>
    <w:semiHidden/>
    <w:unhideWhenUsed/>
    <w:rsid w:val="00E8027B"/>
    <w:pPr>
      <w:spacing w:before="0" w:after="0" w:line="240" w:lineRule="auto"/>
      <w:ind w:left="1320" w:hanging="220"/>
    </w:pPr>
  </w:style>
  <w:style w:type="paragraph" w:styleId="Index7">
    <w:name w:val="index 7"/>
    <w:basedOn w:val="Normal"/>
    <w:next w:val="Normal"/>
    <w:autoRedefine/>
    <w:uiPriority w:val="99"/>
    <w:semiHidden/>
    <w:unhideWhenUsed/>
    <w:rsid w:val="00E8027B"/>
    <w:pPr>
      <w:spacing w:before="0" w:after="0" w:line="240" w:lineRule="auto"/>
      <w:ind w:left="1540" w:hanging="220"/>
    </w:pPr>
  </w:style>
  <w:style w:type="paragraph" w:styleId="Index8">
    <w:name w:val="index 8"/>
    <w:basedOn w:val="Normal"/>
    <w:next w:val="Normal"/>
    <w:autoRedefine/>
    <w:uiPriority w:val="99"/>
    <w:semiHidden/>
    <w:unhideWhenUsed/>
    <w:rsid w:val="00E8027B"/>
    <w:pPr>
      <w:spacing w:before="0" w:after="0" w:line="240" w:lineRule="auto"/>
      <w:ind w:left="1760" w:hanging="220"/>
    </w:pPr>
  </w:style>
  <w:style w:type="paragraph" w:styleId="Index9">
    <w:name w:val="index 9"/>
    <w:basedOn w:val="Normal"/>
    <w:next w:val="Normal"/>
    <w:autoRedefine/>
    <w:uiPriority w:val="99"/>
    <w:semiHidden/>
    <w:unhideWhenUsed/>
    <w:rsid w:val="00E8027B"/>
    <w:pPr>
      <w:spacing w:before="0" w:after="0" w:line="240" w:lineRule="auto"/>
      <w:ind w:left="1980" w:hanging="220"/>
    </w:pPr>
  </w:style>
  <w:style w:type="paragraph" w:styleId="IndexHeading">
    <w:name w:val="index heading"/>
    <w:basedOn w:val="Normal"/>
    <w:next w:val="Index1"/>
    <w:uiPriority w:val="99"/>
    <w:semiHidden/>
    <w:unhideWhenUsed/>
    <w:rsid w:val="00E8027B"/>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E8027B"/>
    <w:pPr>
      <w:pBdr>
        <w:top w:val="single" w:sz="4" w:space="10" w:color="006EA8" w:themeColor="accent1"/>
        <w:bottom w:val="single" w:sz="4" w:space="10" w:color="006EA8" w:themeColor="accent1"/>
      </w:pBdr>
      <w:spacing w:before="360" w:after="360"/>
      <w:ind w:left="864" w:right="864"/>
      <w:jc w:val="center"/>
    </w:pPr>
    <w:rPr>
      <w:i/>
      <w:iCs/>
      <w:color w:val="006EA8" w:themeColor="accent1"/>
    </w:rPr>
  </w:style>
  <w:style w:type="character" w:customStyle="1" w:styleId="IntenseQuoteChar">
    <w:name w:val="Intense Quote Char"/>
    <w:basedOn w:val="DefaultParagraphFont"/>
    <w:link w:val="IntenseQuote"/>
    <w:uiPriority w:val="30"/>
    <w:rsid w:val="00E8027B"/>
    <w:rPr>
      <w:rFonts w:ascii="Segoe UI" w:hAnsi="Segoe UI"/>
      <w:i/>
      <w:iCs/>
      <w:color w:val="006EA8" w:themeColor="accent1"/>
      <w:sz w:val="22"/>
      <w:lang w:eastAsia="en-US"/>
    </w:rPr>
  </w:style>
  <w:style w:type="paragraph" w:styleId="List">
    <w:name w:val="List"/>
    <w:basedOn w:val="Normal"/>
    <w:uiPriority w:val="99"/>
    <w:semiHidden/>
    <w:unhideWhenUsed/>
    <w:rsid w:val="00E8027B"/>
    <w:pPr>
      <w:ind w:left="283" w:hanging="283"/>
      <w:contextualSpacing/>
    </w:pPr>
  </w:style>
  <w:style w:type="paragraph" w:styleId="List2">
    <w:name w:val="List 2"/>
    <w:basedOn w:val="Normal"/>
    <w:uiPriority w:val="99"/>
    <w:semiHidden/>
    <w:unhideWhenUsed/>
    <w:rsid w:val="00E8027B"/>
    <w:pPr>
      <w:ind w:left="566" w:hanging="283"/>
      <w:contextualSpacing/>
    </w:pPr>
  </w:style>
  <w:style w:type="paragraph" w:styleId="List3">
    <w:name w:val="List 3"/>
    <w:basedOn w:val="Normal"/>
    <w:uiPriority w:val="99"/>
    <w:semiHidden/>
    <w:unhideWhenUsed/>
    <w:rsid w:val="00E8027B"/>
    <w:pPr>
      <w:ind w:left="849" w:hanging="283"/>
      <w:contextualSpacing/>
    </w:pPr>
  </w:style>
  <w:style w:type="paragraph" w:styleId="List4">
    <w:name w:val="List 4"/>
    <w:basedOn w:val="Normal"/>
    <w:uiPriority w:val="99"/>
    <w:semiHidden/>
    <w:unhideWhenUsed/>
    <w:rsid w:val="00E8027B"/>
    <w:pPr>
      <w:ind w:left="1132" w:hanging="283"/>
      <w:contextualSpacing/>
    </w:pPr>
  </w:style>
  <w:style w:type="paragraph" w:styleId="List5">
    <w:name w:val="List 5"/>
    <w:basedOn w:val="Normal"/>
    <w:uiPriority w:val="99"/>
    <w:semiHidden/>
    <w:unhideWhenUsed/>
    <w:rsid w:val="00E8027B"/>
    <w:pPr>
      <w:ind w:left="1415" w:hanging="283"/>
      <w:contextualSpacing/>
    </w:pPr>
  </w:style>
  <w:style w:type="paragraph" w:styleId="ListBullet4">
    <w:name w:val="List Bullet 4"/>
    <w:basedOn w:val="Normal"/>
    <w:uiPriority w:val="99"/>
    <w:semiHidden/>
    <w:unhideWhenUsed/>
    <w:rsid w:val="00E8027B"/>
    <w:pPr>
      <w:numPr>
        <w:numId w:val="6"/>
      </w:numPr>
      <w:contextualSpacing/>
    </w:pPr>
  </w:style>
  <w:style w:type="paragraph" w:styleId="ListBullet5">
    <w:name w:val="List Bullet 5"/>
    <w:basedOn w:val="Normal"/>
    <w:uiPriority w:val="99"/>
    <w:semiHidden/>
    <w:unhideWhenUsed/>
    <w:rsid w:val="00E8027B"/>
    <w:pPr>
      <w:numPr>
        <w:numId w:val="7"/>
      </w:numPr>
      <w:contextualSpacing/>
    </w:pPr>
  </w:style>
  <w:style w:type="paragraph" w:styleId="ListContinue">
    <w:name w:val="List Continue"/>
    <w:basedOn w:val="Normal"/>
    <w:uiPriority w:val="99"/>
    <w:semiHidden/>
    <w:unhideWhenUsed/>
    <w:rsid w:val="00E8027B"/>
    <w:pPr>
      <w:spacing w:after="120"/>
      <w:ind w:left="283"/>
      <w:contextualSpacing/>
    </w:pPr>
  </w:style>
  <w:style w:type="paragraph" w:styleId="ListContinue2">
    <w:name w:val="List Continue 2"/>
    <w:basedOn w:val="Normal"/>
    <w:uiPriority w:val="99"/>
    <w:semiHidden/>
    <w:unhideWhenUsed/>
    <w:rsid w:val="00E8027B"/>
    <w:pPr>
      <w:spacing w:after="120"/>
      <w:ind w:left="566"/>
      <w:contextualSpacing/>
    </w:pPr>
  </w:style>
  <w:style w:type="paragraph" w:styleId="ListContinue3">
    <w:name w:val="List Continue 3"/>
    <w:basedOn w:val="Normal"/>
    <w:uiPriority w:val="99"/>
    <w:semiHidden/>
    <w:unhideWhenUsed/>
    <w:rsid w:val="00E8027B"/>
    <w:pPr>
      <w:spacing w:after="120"/>
      <w:ind w:left="849"/>
      <w:contextualSpacing/>
    </w:pPr>
  </w:style>
  <w:style w:type="paragraph" w:styleId="ListContinue4">
    <w:name w:val="List Continue 4"/>
    <w:basedOn w:val="Normal"/>
    <w:uiPriority w:val="99"/>
    <w:semiHidden/>
    <w:unhideWhenUsed/>
    <w:rsid w:val="00E8027B"/>
    <w:pPr>
      <w:spacing w:after="120"/>
      <w:ind w:left="1132"/>
      <w:contextualSpacing/>
    </w:pPr>
  </w:style>
  <w:style w:type="paragraph" w:styleId="ListContinue5">
    <w:name w:val="List Continue 5"/>
    <w:basedOn w:val="Normal"/>
    <w:uiPriority w:val="99"/>
    <w:semiHidden/>
    <w:unhideWhenUsed/>
    <w:rsid w:val="00E8027B"/>
    <w:pPr>
      <w:spacing w:after="120"/>
      <w:ind w:left="1415"/>
      <w:contextualSpacing/>
    </w:pPr>
  </w:style>
  <w:style w:type="paragraph" w:styleId="ListNumber">
    <w:name w:val="List Number"/>
    <w:basedOn w:val="Normal"/>
    <w:uiPriority w:val="99"/>
    <w:semiHidden/>
    <w:unhideWhenUsed/>
    <w:rsid w:val="00E8027B"/>
    <w:pPr>
      <w:numPr>
        <w:numId w:val="8"/>
      </w:numPr>
      <w:contextualSpacing/>
    </w:pPr>
  </w:style>
  <w:style w:type="paragraph" w:styleId="ListNumber2">
    <w:name w:val="List Number 2"/>
    <w:basedOn w:val="Normal"/>
    <w:uiPriority w:val="99"/>
    <w:semiHidden/>
    <w:unhideWhenUsed/>
    <w:rsid w:val="00E8027B"/>
    <w:pPr>
      <w:numPr>
        <w:numId w:val="9"/>
      </w:numPr>
      <w:contextualSpacing/>
    </w:pPr>
  </w:style>
  <w:style w:type="paragraph" w:styleId="ListNumber3">
    <w:name w:val="List Number 3"/>
    <w:basedOn w:val="Normal"/>
    <w:uiPriority w:val="99"/>
    <w:semiHidden/>
    <w:unhideWhenUsed/>
    <w:rsid w:val="00E8027B"/>
    <w:pPr>
      <w:numPr>
        <w:numId w:val="10"/>
      </w:numPr>
      <w:contextualSpacing/>
    </w:pPr>
  </w:style>
  <w:style w:type="paragraph" w:styleId="ListNumber4">
    <w:name w:val="List Number 4"/>
    <w:basedOn w:val="Normal"/>
    <w:uiPriority w:val="99"/>
    <w:semiHidden/>
    <w:unhideWhenUsed/>
    <w:rsid w:val="00E8027B"/>
    <w:pPr>
      <w:numPr>
        <w:numId w:val="11"/>
      </w:numPr>
      <w:contextualSpacing/>
    </w:pPr>
  </w:style>
  <w:style w:type="paragraph" w:styleId="ListNumber5">
    <w:name w:val="List Number 5"/>
    <w:basedOn w:val="Normal"/>
    <w:uiPriority w:val="99"/>
    <w:semiHidden/>
    <w:unhideWhenUsed/>
    <w:rsid w:val="00E8027B"/>
    <w:pPr>
      <w:numPr>
        <w:numId w:val="12"/>
      </w:numPr>
      <w:contextualSpacing/>
    </w:pPr>
  </w:style>
  <w:style w:type="paragraph" w:styleId="MacroText">
    <w:name w:val="macro"/>
    <w:link w:val="MacroTextChar"/>
    <w:uiPriority w:val="99"/>
    <w:semiHidden/>
    <w:unhideWhenUsed/>
    <w:rsid w:val="00E8027B"/>
    <w:pPr>
      <w:tabs>
        <w:tab w:val="left" w:pos="480"/>
        <w:tab w:val="left" w:pos="960"/>
        <w:tab w:val="left" w:pos="1440"/>
        <w:tab w:val="left" w:pos="1920"/>
        <w:tab w:val="left" w:pos="2400"/>
        <w:tab w:val="left" w:pos="2880"/>
        <w:tab w:val="left" w:pos="3360"/>
        <w:tab w:val="left" w:pos="3840"/>
        <w:tab w:val="left" w:pos="4320"/>
      </w:tabs>
      <w:spacing w:before="120" w:line="240" w:lineRule="atLeast"/>
    </w:pPr>
    <w:rPr>
      <w:rFonts w:ascii="Consolas" w:hAnsi="Consolas"/>
      <w:lang w:eastAsia="en-US"/>
    </w:rPr>
  </w:style>
  <w:style w:type="character" w:customStyle="1" w:styleId="MacroTextChar">
    <w:name w:val="Macro Text Char"/>
    <w:basedOn w:val="DefaultParagraphFont"/>
    <w:link w:val="MacroText"/>
    <w:uiPriority w:val="99"/>
    <w:semiHidden/>
    <w:rsid w:val="00E8027B"/>
    <w:rPr>
      <w:rFonts w:ascii="Consolas" w:hAnsi="Consolas"/>
      <w:lang w:eastAsia="en-US"/>
    </w:rPr>
  </w:style>
  <w:style w:type="paragraph" w:styleId="MessageHeader">
    <w:name w:val="Message Header"/>
    <w:basedOn w:val="Normal"/>
    <w:link w:val="MessageHeaderChar"/>
    <w:uiPriority w:val="99"/>
    <w:semiHidden/>
    <w:unhideWhenUsed/>
    <w:rsid w:val="00E8027B"/>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E8027B"/>
    <w:rPr>
      <w:rFonts w:asciiTheme="majorHAnsi" w:eastAsiaTheme="majorEastAsia" w:hAnsiTheme="majorHAnsi" w:cstheme="majorBidi"/>
      <w:sz w:val="24"/>
      <w:szCs w:val="24"/>
      <w:shd w:val="pct20" w:color="auto" w:fill="auto"/>
      <w:lang w:eastAsia="en-US"/>
    </w:rPr>
  </w:style>
  <w:style w:type="paragraph" w:styleId="NoSpacing">
    <w:name w:val="No Spacing"/>
    <w:uiPriority w:val="1"/>
    <w:rsid w:val="00E8027B"/>
    <w:rPr>
      <w:rFonts w:ascii="Segoe UI" w:hAnsi="Segoe UI"/>
      <w:sz w:val="22"/>
      <w:lang w:eastAsia="en-US"/>
    </w:rPr>
  </w:style>
  <w:style w:type="paragraph" w:styleId="NormalIndent">
    <w:name w:val="Normal Indent"/>
    <w:basedOn w:val="Normal"/>
    <w:uiPriority w:val="99"/>
    <w:semiHidden/>
    <w:unhideWhenUsed/>
    <w:rsid w:val="00E8027B"/>
    <w:pPr>
      <w:ind w:left="851"/>
    </w:pPr>
  </w:style>
  <w:style w:type="paragraph" w:styleId="NoteHeading">
    <w:name w:val="Note Heading"/>
    <w:basedOn w:val="Normal"/>
    <w:next w:val="Normal"/>
    <w:link w:val="NoteHeadingChar"/>
    <w:uiPriority w:val="99"/>
    <w:semiHidden/>
    <w:unhideWhenUsed/>
    <w:rsid w:val="00E8027B"/>
    <w:pPr>
      <w:spacing w:before="0" w:after="0" w:line="240" w:lineRule="auto"/>
    </w:pPr>
  </w:style>
  <w:style w:type="character" w:customStyle="1" w:styleId="NoteHeadingChar">
    <w:name w:val="Note Heading Char"/>
    <w:basedOn w:val="DefaultParagraphFont"/>
    <w:link w:val="NoteHeading"/>
    <w:uiPriority w:val="99"/>
    <w:semiHidden/>
    <w:rsid w:val="00E8027B"/>
    <w:rPr>
      <w:rFonts w:ascii="Segoe UI" w:hAnsi="Segoe UI"/>
      <w:sz w:val="22"/>
      <w:lang w:eastAsia="en-US"/>
    </w:rPr>
  </w:style>
  <w:style w:type="paragraph" w:styleId="PlainText">
    <w:name w:val="Plain Text"/>
    <w:basedOn w:val="Normal"/>
    <w:link w:val="PlainTextChar"/>
    <w:uiPriority w:val="99"/>
    <w:semiHidden/>
    <w:unhideWhenUsed/>
    <w:rsid w:val="00E8027B"/>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E8027B"/>
    <w:rPr>
      <w:rFonts w:ascii="Consolas" w:hAnsi="Consolas"/>
      <w:sz w:val="21"/>
      <w:szCs w:val="21"/>
      <w:lang w:eastAsia="en-US"/>
    </w:rPr>
  </w:style>
  <w:style w:type="paragraph" w:styleId="Quote">
    <w:name w:val="Quote"/>
    <w:basedOn w:val="Normal"/>
    <w:next w:val="Normal"/>
    <w:link w:val="QuoteChar"/>
    <w:uiPriority w:val="29"/>
    <w:rsid w:val="00E8027B"/>
    <w:pPr>
      <w:spacing w:before="200" w:after="160"/>
      <w:ind w:left="864" w:right="864"/>
      <w:jc w:val="center"/>
    </w:pPr>
    <w:rPr>
      <w:i/>
      <w:iCs/>
      <w:color w:val="0070B5" w:themeColor="text1" w:themeTint="BF"/>
    </w:rPr>
  </w:style>
  <w:style w:type="character" w:customStyle="1" w:styleId="QuoteChar">
    <w:name w:val="Quote Char"/>
    <w:basedOn w:val="DefaultParagraphFont"/>
    <w:link w:val="Quote"/>
    <w:uiPriority w:val="29"/>
    <w:rsid w:val="00E8027B"/>
    <w:rPr>
      <w:rFonts w:ascii="Segoe UI" w:hAnsi="Segoe UI"/>
      <w:i/>
      <w:iCs/>
      <w:color w:val="0070B5" w:themeColor="text1" w:themeTint="BF"/>
      <w:sz w:val="22"/>
      <w:lang w:eastAsia="en-US"/>
    </w:rPr>
  </w:style>
  <w:style w:type="paragraph" w:styleId="Salutation">
    <w:name w:val="Salutation"/>
    <w:basedOn w:val="Normal"/>
    <w:next w:val="Normal"/>
    <w:link w:val="SalutationChar"/>
    <w:uiPriority w:val="99"/>
    <w:semiHidden/>
    <w:unhideWhenUsed/>
    <w:rsid w:val="00E8027B"/>
  </w:style>
  <w:style w:type="character" w:customStyle="1" w:styleId="SalutationChar">
    <w:name w:val="Salutation Char"/>
    <w:basedOn w:val="DefaultParagraphFont"/>
    <w:link w:val="Salutation"/>
    <w:uiPriority w:val="99"/>
    <w:semiHidden/>
    <w:rsid w:val="00E8027B"/>
    <w:rPr>
      <w:rFonts w:ascii="Segoe UI" w:hAnsi="Segoe UI"/>
      <w:sz w:val="22"/>
      <w:lang w:eastAsia="en-US"/>
    </w:rPr>
  </w:style>
  <w:style w:type="paragraph" w:styleId="Signature">
    <w:name w:val="Signature"/>
    <w:basedOn w:val="Normal"/>
    <w:link w:val="SignatureChar"/>
    <w:uiPriority w:val="99"/>
    <w:semiHidden/>
    <w:unhideWhenUsed/>
    <w:rsid w:val="00E8027B"/>
    <w:pPr>
      <w:spacing w:before="0" w:after="0" w:line="240" w:lineRule="auto"/>
      <w:ind w:left="4252"/>
    </w:pPr>
  </w:style>
  <w:style w:type="character" w:customStyle="1" w:styleId="SignatureChar">
    <w:name w:val="Signature Char"/>
    <w:basedOn w:val="DefaultParagraphFont"/>
    <w:link w:val="Signature"/>
    <w:uiPriority w:val="99"/>
    <w:semiHidden/>
    <w:rsid w:val="00E8027B"/>
    <w:rPr>
      <w:rFonts w:ascii="Segoe UI" w:hAnsi="Segoe UI"/>
      <w:sz w:val="22"/>
      <w:lang w:eastAsia="en-US"/>
    </w:rPr>
  </w:style>
  <w:style w:type="paragraph" w:styleId="TableofAuthorities">
    <w:name w:val="table of authorities"/>
    <w:basedOn w:val="Normal"/>
    <w:next w:val="Normal"/>
    <w:uiPriority w:val="99"/>
    <w:semiHidden/>
    <w:unhideWhenUsed/>
    <w:rsid w:val="00E8027B"/>
    <w:pPr>
      <w:spacing w:after="0"/>
      <w:ind w:left="220" w:hanging="220"/>
    </w:pPr>
  </w:style>
  <w:style w:type="paragraph" w:styleId="TableofFigures">
    <w:name w:val="table of figures"/>
    <w:basedOn w:val="Normal"/>
    <w:next w:val="Normal"/>
    <w:uiPriority w:val="99"/>
    <w:semiHidden/>
    <w:unhideWhenUsed/>
    <w:rsid w:val="00E8027B"/>
    <w:pPr>
      <w:spacing w:after="0"/>
    </w:pPr>
  </w:style>
  <w:style w:type="paragraph" w:styleId="TOAHeading">
    <w:name w:val="toa heading"/>
    <w:basedOn w:val="Normal"/>
    <w:next w:val="Normal"/>
    <w:uiPriority w:val="99"/>
    <w:semiHidden/>
    <w:unhideWhenUsed/>
    <w:rsid w:val="00E8027B"/>
    <w:rPr>
      <w:rFonts w:asciiTheme="majorHAnsi" w:eastAsiaTheme="majorEastAsia" w:hAnsiTheme="majorHAnsi" w:cstheme="majorBidi"/>
      <w:b/>
      <w:bCs/>
      <w:sz w:val="24"/>
      <w:szCs w:val="24"/>
    </w:rPr>
  </w:style>
  <w:style w:type="paragraph" w:styleId="TOC8">
    <w:name w:val="toc 8"/>
    <w:basedOn w:val="Normal"/>
    <w:next w:val="Normal"/>
    <w:autoRedefine/>
    <w:uiPriority w:val="39"/>
    <w:semiHidden/>
    <w:unhideWhenUsed/>
    <w:rsid w:val="00E8027B"/>
    <w:pPr>
      <w:spacing w:after="100"/>
      <w:ind w:left="1540"/>
    </w:pPr>
  </w:style>
  <w:style w:type="paragraph" w:styleId="TOC9">
    <w:name w:val="toc 9"/>
    <w:basedOn w:val="Normal"/>
    <w:next w:val="Normal"/>
    <w:autoRedefine/>
    <w:uiPriority w:val="39"/>
    <w:semiHidden/>
    <w:unhideWhenUsed/>
    <w:rsid w:val="00E8027B"/>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7644258">
      <w:bodyDiv w:val="1"/>
      <w:marLeft w:val="0"/>
      <w:marRight w:val="0"/>
      <w:marTop w:val="0"/>
      <w:marBottom w:val="0"/>
      <w:divBdr>
        <w:top w:val="none" w:sz="0" w:space="0" w:color="auto"/>
        <w:left w:val="none" w:sz="0" w:space="0" w:color="auto"/>
        <w:bottom w:val="none" w:sz="0" w:space="0" w:color="auto"/>
        <w:right w:val="none" w:sz="0" w:space="0" w:color="auto"/>
      </w:divBdr>
      <w:divsChild>
        <w:div w:id="1030110770">
          <w:marLeft w:val="0"/>
          <w:marRight w:val="0"/>
          <w:marTop w:val="0"/>
          <w:marBottom w:val="0"/>
          <w:divBdr>
            <w:top w:val="none" w:sz="0" w:space="0" w:color="auto"/>
            <w:left w:val="none" w:sz="0" w:space="0" w:color="auto"/>
            <w:bottom w:val="none" w:sz="0" w:space="0" w:color="auto"/>
            <w:right w:val="none" w:sz="0" w:space="0" w:color="auto"/>
          </w:divBdr>
          <w:divsChild>
            <w:div w:id="144842460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32302468">
      <w:bodyDiv w:val="1"/>
      <w:marLeft w:val="0"/>
      <w:marRight w:val="0"/>
      <w:marTop w:val="0"/>
      <w:marBottom w:val="0"/>
      <w:divBdr>
        <w:top w:val="none" w:sz="0" w:space="0" w:color="auto"/>
        <w:left w:val="none" w:sz="0" w:space="0" w:color="auto"/>
        <w:bottom w:val="none" w:sz="0" w:space="0" w:color="auto"/>
        <w:right w:val="none" w:sz="0" w:space="0" w:color="auto"/>
      </w:divBdr>
      <w:divsChild>
        <w:div w:id="929703686">
          <w:marLeft w:val="0"/>
          <w:marRight w:val="0"/>
          <w:marTop w:val="0"/>
          <w:marBottom w:val="0"/>
          <w:divBdr>
            <w:top w:val="none" w:sz="0" w:space="0" w:color="auto"/>
            <w:left w:val="none" w:sz="0" w:space="0" w:color="auto"/>
            <w:bottom w:val="none" w:sz="0" w:space="0" w:color="auto"/>
            <w:right w:val="none" w:sz="0" w:space="0" w:color="auto"/>
          </w:divBdr>
          <w:divsChild>
            <w:div w:id="1620911505">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109621383">
      <w:bodyDiv w:val="1"/>
      <w:marLeft w:val="0"/>
      <w:marRight w:val="0"/>
      <w:marTop w:val="0"/>
      <w:marBottom w:val="0"/>
      <w:divBdr>
        <w:top w:val="none" w:sz="0" w:space="0" w:color="auto"/>
        <w:left w:val="none" w:sz="0" w:space="0" w:color="auto"/>
        <w:bottom w:val="none" w:sz="0" w:space="0" w:color="auto"/>
        <w:right w:val="none" w:sz="0" w:space="0" w:color="auto"/>
      </w:divBdr>
      <w:divsChild>
        <w:div w:id="1789009720">
          <w:marLeft w:val="0"/>
          <w:marRight w:val="0"/>
          <w:marTop w:val="0"/>
          <w:marBottom w:val="0"/>
          <w:divBdr>
            <w:top w:val="none" w:sz="0" w:space="0" w:color="auto"/>
            <w:left w:val="none" w:sz="0" w:space="0" w:color="auto"/>
            <w:bottom w:val="none" w:sz="0" w:space="0" w:color="auto"/>
            <w:right w:val="none" w:sz="0" w:space="0" w:color="auto"/>
          </w:divBdr>
          <w:divsChild>
            <w:div w:id="164766467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99949410">
      <w:bodyDiv w:val="1"/>
      <w:marLeft w:val="0"/>
      <w:marRight w:val="0"/>
      <w:marTop w:val="0"/>
      <w:marBottom w:val="0"/>
      <w:divBdr>
        <w:top w:val="none" w:sz="0" w:space="0" w:color="auto"/>
        <w:left w:val="none" w:sz="0" w:space="0" w:color="auto"/>
        <w:bottom w:val="none" w:sz="0" w:space="0" w:color="auto"/>
        <w:right w:val="none" w:sz="0" w:space="0" w:color="auto"/>
      </w:divBdr>
      <w:divsChild>
        <w:div w:id="1273900675">
          <w:marLeft w:val="0"/>
          <w:marRight w:val="0"/>
          <w:marTop w:val="0"/>
          <w:marBottom w:val="0"/>
          <w:divBdr>
            <w:top w:val="none" w:sz="0" w:space="0" w:color="auto"/>
            <w:left w:val="none" w:sz="0" w:space="0" w:color="auto"/>
            <w:bottom w:val="none" w:sz="0" w:space="0" w:color="auto"/>
            <w:right w:val="none" w:sz="0" w:space="0" w:color="auto"/>
          </w:divBdr>
          <w:divsChild>
            <w:div w:id="1715694835">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114663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creativecommons.org/licenses/by/3.0/au/legalcode" TargetMode="External"/><Relationship Id="rId18" Type="http://schemas.openxmlformats.org/officeDocument/2006/relationships/footer" Target="footer3.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creativecommons.org/licenses/by/3.0/au/deed.en" TargetMode="External"/><Relationship Id="rId17" Type="http://schemas.openxmlformats.org/officeDocument/2006/relationships/image" Target="media/image2.png"/><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yperlink" Target="mailto:mcs@health.gov.au"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yperlink" Target="https://www.odc.gov.au" TargetMode="External"/><Relationship Id="rId23" Type="http://schemas.openxmlformats.org/officeDocument/2006/relationships/footer" Target="footer5.xml"/><Relationship Id="rId10" Type="http://schemas.openxmlformats.org/officeDocument/2006/relationships/header" Target="header2.xml"/><Relationship Id="rId19"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mcs@health.gov.au" TargetMode="External"/><Relationship Id="rId22" Type="http://schemas.openxmlformats.org/officeDocument/2006/relationships/header" Target="header4.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GA">
  <a:themeElements>
    <a:clrScheme name="TGA Theme">
      <a:dk1>
        <a:srgbClr val="002C47"/>
      </a:dk1>
      <a:lt1>
        <a:srgbClr val="FFFFFF"/>
      </a:lt1>
      <a:dk2>
        <a:srgbClr val="002C47"/>
      </a:dk2>
      <a:lt2>
        <a:srgbClr val="FFFFFF"/>
      </a:lt2>
      <a:accent1>
        <a:srgbClr val="006EA8"/>
      </a:accent1>
      <a:accent2>
        <a:srgbClr val="A5ABB2"/>
      </a:accent2>
      <a:accent3>
        <a:srgbClr val="016665"/>
      </a:accent3>
      <a:accent4>
        <a:srgbClr val="B3C95F"/>
      </a:accent4>
      <a:accent5>
        <a:srgbClr val="274520"/>
      </a:accent5>
      <a:accent6>
        <a:srgbClr val="9A86B7"/>
      </a:accent6>
      <a:hlink>
        <a:srgbClr val="0000FF"/>
      </a:hlink>
      <a:folHlink>
        <a:srgbClr val="800080"/>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AEBD20-B665-4591-81C4-5BE0F6D7B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16</Pages>
  <Words>4896</Words>
  <Characters>26880</Characters>
  <Application>Microsoft Office Word</Application>
  <DocSecurity>0</DocSecurity>
  <Lines>571</Lines>
  <Paragraphs>387</Paragraphs>
  <ScaleCrop>false</ScaleCrop>
  <HeadingPairs>
    <vt:vector size="2" baseType="variant">
      <vt:variant>
        <vt:lpstr>Title</vt:lpstr>
      </vt:variant>
      <vt:variant>
        <vt:i4>1</vt:i4>
      </vt:variant>
    </vt:vector>
  </HeadingPairs>
  <TitlesOfParts>
    <vt:vector size="1" baseType="lpstr">
      <vt:lpstr/>
    </vt:vector>
  </TitlesOfParts>
  <Company>TGA</Company>
  <LinksUpToDate>false</LinksUpToDate>
  <CharactersWithSpaces>31389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Back, Therese</dc:creator>
  <cp:lastModifiedBy>SHEPPARD, Fran</cp:lastModifiedBy>
  <cp:revision>15</cp:revision>
  <cp:lastPrinted>2020-03-11T04:40:00Z</cp:lastPrinted>
  <dcterms:created xsi:type="dcterms:W3CDTF">2020-03-11T01:06:00Z</dcterms:created>
  <dcterms:modified xsi:type="dcterms:W3CDTF">2020-03-11T23:54:00Z</dcterms:modified>
</cp:coreProperties>
</file>